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0E0" w14:textId="77777777" w:rsidR="00065680" w:rsidRDefault="00065680" w:rsidP="009A6909">
      <w:pPr>
        <w:spacing w:after="480"/>
        <w:jc w:val="both"/>
      </w:pPr>
      <w:r>
        <w:rPr>
          <w:noProof/>
        </w:rPr>
        <w:drawing>
          <wp:inline distT="0" distB="0" distL="0" distR="0" wp14:anchorId="69C15A44" wp14:editId="58DCEF6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065680" w14:paraId="041F7A13" w14:textId="77777777" w:rsidTr="008E1116">
        <w:trPr>
          <w:tblHeader/>
        </w:trPr>
        <w:tc>
          <w:tcPr>
            <w:tcW w:w="3456" w:type="dxa"/>
            <w:tcBorders>
              <w:bottom w:val="single" w:sz="18" w:space="0" w:color="auto"/>
            </w:tcBorders>
          </w:tcPr>
          <w:p w14:paraId="72B7A2A3" w14:textId="77777777" w:rsidR="00065680" w:rsidRPr="00B805DB" w:rsidRDefault="00065680" w:rsidP="009A6909">
            <w:pPr>
              <w:pStyle w:val="Heading1"/>
              <w:spacing w:after="240"/>
              <w:jc w:val="both"/>
              <w:outlineLvl w:val="0"/>
            </w:pPr>
            <w:r>
              <w:t>Report f</w:t>
            </w:r>
            <w:r w:rsidRPr="00C869F3">
              <w:t>or:</w:t>
            </w:r>
          </w:p>
        </w:tc>
        <w:tc>
          <w:tcPr>
            <w:tcW w:w="5054" w:type="dxa"/>
            <w:tcBorders>
              <w:bottom w:val="single" w:sz="18" w:space="0" w:color="auto"/>
            </w:tcBorders>
          </w:tcPr>
          <w:p w14:paraId="09E72913" w14:textId="77777777" w:rsidR="00065680" w:rsidRPr="005E3A10" w:rsidRDefault="00065680" w:rsidP="009A6909">
            <w:pPr>
              <w:pStyle w:val="Heading1"/>
              <w:jc w:val="both"/>
              <w:outlineLvl w:val="0"/>
              <w:rPr>
                <w:szCs w:val="24"/>
              </w:rPr>
            </w:pPr>
            <w:r>
              <w:t>Licensing Panel</w:t>
            </w:r>
          </w:p>
        </w:tc>
      </w:tr>
      <w:tr w:rsidR="00065680" w14:paraId="78E59203" w14:textId="77777777" w:rsidTr="008E1116">
        <w:tc>
          <w:tcPr>
            <w:tcW w:w="3456" w:type="dxa"/>
            <w:tcBorders>
              <w:top w:val="single" w:sz="18" w:space="0" w:color="auto"/>
            </w:tcBorders>
          </w:tcPr>
          <w:p w14:paraId="469AD8E9" w14:textId="77777777" w:rsidR="00065680" w:rsidRPr="00C13A5F" w:rsidRDefault="00065680" w:rsidP="009A6909">
            <w:pPr>
              <w:pStyle w:val="Infotext"/>
              <w:spacing w:after="240"/>
              <w:jc w:val="both"/>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D802A5A" w14:textId="52521C36" w:rsidR="00065680" w:rsidRPr="005E3A10" w:rsidRDefault="009A6909" w:rsidP="009A6909">
            <w:pPr>
              <w:jc w:val="both"/>
              <w:rPr>
                <w:rFonts w:cs="Arial"/>
                <w:szCs w:val="24"/>
              </w:rPr>
            </w:pPr>
            <w:r>
              <w:rPr>
                <w:rFonts w:cs="Arial"/>
                <w:szCs w:val="24"/>
              </w:rPr>
              <w:t>13 June 2023</w:t>
            </w:r>
          </w:p>
        </w:tc>
      </w:tr>
      <w:tr w:rsidR="00065680" w14:paraId="17D2DC82" w14:textId="77777777" w:rsidTr="008E1116">
        <w:tc>
          <w:tcPr>
            <w:tcW w:w="3456" w:type="dxa"/>
          </w:tcPr>
          <w:p w14:paraId="1A1F7CB2" w14:textId="77777777" w:rsidR="00065680" w:rsidRPr="00C13A5F" w:rsidRDefault="00065680" w:rsidP="009A6909">
            <w:pPr>
              <w:pStyle w:val="Infotext"/>
              <w:spacing w:after="240"/>
              <w:jc w:val="both"/>
              <w:rPr>
                <w:rFonts w:ascii="Arial Black" w:hAnsi="Arial Black"/>
              </w:rPr>
            </w:pPr>
            <w:r w:rsidRPr="00C13A5F">
              <w:rPr>
                <w:rFonts w:ascii="Arial Black" w:hAnsi="Arial Black" w:cs="Arial"/>
              </w:rPr>
              <w:t>Subject:</w:t>
            </w:r>
          </w:p>
        </w:tc>
        <w:tc>
          <w:tcPr>
            <w:tcW w:w="5054" w:type="dxa"/>
          </w:tcPr>
          <w:p w14:paraId="46CA1A78" w14:textId="52663D64" w:rsidR="00065680" w:rsidRDefault="00ED3DFB" w:rsidP="009A6909">
            <w:pPr>
              <w:jc w:val="both"/>
              <w:rPr>
                <w:rFonts w:cs="Arial"/>
              </w:rPr>
            </w:pPr>
            <w:r>
              <w:rPr>
                <w:rFonts w:cs="Arial"/>
              </w:rPr>
              <w:t xml:space="preserve">Application for a review of the premises licence for </w:t>
            </w:r>
            <w:r w:rsidRPr="00ED3DFB">
              <w:rPr>
                <w:rFonts w:cs="Arial"/>
              </w:rPr>
              <w:t xml:space="preserve">Seán </w:t>
            </w:r>
            <w:proofErr w:type="spellStart"/>
            <w:r w:rsidRPr="00ED3DFB">
              <w:rPr>
                <w:rFonts w:cs="Arial"/>
              </w:rPr>
              <w:t>Óg</w:t>
            </w:r>
            <w:proofErr w:type="spellEnd"/>
            <w:r w:rsidRPr="00ED3DFB">
              <w:rPr>
                <w:rFonts w:cs="Arial"/>
              </w:rPr>
              <w:t>, 108 High Street, Wealdstone, Harrow, HA3 7AH.</w:t>
            </w:r>
          </w:p>
          <w:p w14:paraId="44FF7907" w14:textId="4E524FBE" w:rsidR="00ED3DFB" w:rsidRPr="005E3A10" w:rsidRDefault="00ED3DFB" w:rsidP="009A6909">
            <w:pPr>
              <w:jc w:val="both"/>
              <w:rPr>
                <w:rFonts w:cs="Arial"/>
                <w:szCs w:val="24"/>
              </w:rPr>
            </w:pPr>
          </w:p>
        </w:tc>
      </w:tr>
      <w:tr w:rsidR="00065680" w14:paraId="1A6A763E" w14:textId="77777777" w:rsidTr="008E1116">
        <w:tc>
          <w:tcPr>
            <w:tcW w:w="3456" w:type="dxa"/>
          </w:tcPr>
          <w:p w14:paraId="0F622E56" w14:textId="77777777" w:rsidR="00065680" w:rsidRPr="00C13A5F" w:rsidRDefault="00065680" w:rsidP="009A6909">
            <w:pPr>
              <w:pStyle w:val="Infotext"/>
              <w:spacing w:after="240"/>
              <w:jc w:val="both"/>
              <w:rPr>
                <w:rFonts w:ascii="Arial Black" w:hAnsi="Arial Black" w:cs="Arial"/>
              </w:rPr>
            </w:pPr>
            <w:r w:rsidRPr="00C13A5F">
              <w:rPr>
                <w:rFonts w:ascii="Arial Black" w:hAnsi="Arial Black" w:cs="Arial"/>
              </w:rPr>
              <w:t>Responsible Officer:</w:t>
            </w:r>
          </w:p>
        </w:tc>
        <w:tc>
          <w:tcPr>
            <w:tcW w:w="5054" w:type="dxa"/>
          </w:tcPr>
          <w:p w14:paraId="21C18DE0" w14:textId="77777777" w:rsidR="00ED3DFB" w:rsidRDefault="00ED3DFB" w:rsidP="009A6909">
            <w:pPr>
              <w:jc w:val="both"/>
              <w:rPr>
                <w:rFonts w:cs="Arial"/>
              </w:rPr>
            </w:pPr>
            <w:r>
              <w:rPr>
                <w:rFonts w:cs="Arial"/>
              </w:rPr>
              <w:t>Dipti Patel,</w:t>
            </w:r>
          </w:p>
          <w:p w14:paraId="196C954E" w14:textId="77777777" w:rsidR="00ED3DFB" w:rsidRDefault="00ED3DFB" w:rsidP="009A6909">
            <w:pPr>
              <w:jc w:val="both"/>
              <w:rPr>
                <w:rFonts w:cs="Arial"/>
              </w:rPr>
            </w:pPr>
            <w:r>
              <w:rPr>
                <w:rFonts w:cs="Arial"/>
              </w:rPr>
              <w:t>Corporate Director, Place</w:t>
            </w:r>
          </w:p>
          <w:p w14:paraId="23EEC78F" w14:textId="77777777" w:rsidR="00065680" w:rsidRPr="005E3A10" w:rsidRDefault="00065680" w:rsidP="009A6909">
            <w:pPr>
              <w:pStyle w:val="Infotext"/>
              <w:jc w:val="both"/>
              <w:rPr>
                <w:rFonts w:cs="Arial"/>
                <w:sz w:val="24"/>
                <w:szCs w:val="24"/>
              </w:rPr>
            </w:pPr>
          </w:p>
        </w:tc>
      </w:tr>
      <w:tr w:rsidR="00065680" w14:paraId="03C80162" w14:textId="77777777" w:rsidTr="008E1116">
        <w:tc>
          <w:tcPr>
            <w:tcW w:w="3456" w:type="dxa"/>
          </w:tcPr>
          <w:p w14:paraId="0146F255" w14:textId="77777777" w:rsidR="00065680" w:rsidRPr="00C13A5F" w:rsidRDefault="00065680" w:rsidP="009A6909">
            <w:pPr>
              <w:pStyle w:val="Infotext"/>
              <w:spacing w:after="240"/>
              <w:jc w:val="both"/>
              <w:rPr>
                <w:rFonts w:ascii="Arial Black" w:hAnsi="Arial Black"/>
              </w:rPr>
            </w:pPr>
            <w:r w:rsidRPr="00DB6C3D">
              <w:rPr>
                <w:rFonts w:ascii="Arial Black" w:hAnsi="Arial Black"/>
              </w:rPr>
              <w:t>Exempt:</w:t>
            </w:r>
          </w:p>
        </w:tc>
        <w:tc>
          <w:tcPr>
            <w:tcW w:w="5054" w:type="dxa"/>
          </w:tcPr>
          <w:p w14:paraId="19CB5723" w14:textId="162FE5BC" w:rsidR="00065680" w:rsidRPr="005E3A10" w:rsidRDefault="00065680" w:rsidP="009A6909">
            <w:pPr>
              <w:pStyle w:val="Infotext"/>
              <w:jc w:val="both"/>
              <w:rPr>
                <w:rFonts w:cs="Arial"/>
                <w:sz w:val="24"/>
                <w:szCs w:val="24"/>
              </w:rPr>
            </w:pPr>
            <w:r w:rsidRPr="005E3A10">
              <w:rPr>
                <w:rFonts w:cs="Arial"/>
                <w:sz w:val="24"/>
                <w:szCs w:val="24"/>
              </w:rPr>
              <w:t>No</w:t>
            </w:r>
          </w:p>
          <w:p w14:paraId="66A5DACE" w14:textId="77777777" w:rsidR="00065680" w:rsidRPr="005E3A10" w:rsidRDefault="00065680" w:rsidP="009A6909">
            <w:pPr>
              <w:pStyle w:val="Infotext"/>
              <w:jc w:val="both"/>
              <w:rPr>
                <w:rFonts w:cs="Arial"/>
                <w:color w:val="FF0000"/>
                <w:sz w:val="24"/>
                <w:szCs w:val="24"/>
              </w:rPr>
            </w:pPr>
          </w:p>
        </w:tc>
      </w:tr>
      <w:tr w:rsidR="00065680" w14:paraId="627569BD" w14:textId="77777777" w:rsidTr="008E1116">
        <w:tc>
          <w:tcPr>
            <w:tcW w:w="3456" w:type="dxa"/>
          </w:tcPr>
          <w:p w14:paraId="2AE9B956" w14:textId="77777777" w:rsidR="00065680" w:rsidRPr="00C13A5F" w:rsidRDefault="00065680" w:rsidP="009A6909">
            <w:pPr>
              <w:pStyle w:val="Infotext"/>
              <w:spacing w:after="240"/>
              <w:jc w:val="both"/>
              <w:rPr>
                <w:rFonts w:ascii="Arial Black" w:hAnsi="Arial Black" w:cs="Arial"/>
              </w:rPr>
            </w:pPr>
            <w:r>
              <w:rPr>
                <w:rFonts w:ascii="Arial Black" w:hAnsi="Arial Black" w:cs="Arial"/>
              </w:rPr>
              <w:t>Wards affected:</w:t>
            </w:r>
          </w:p>
        </w:tc>
        <w:tc>
          <w:tcPr>
            <w:tcW w:w="5054" w:type="dxa"/>
          </w:tcPr>
          <w:p w14:paraId="6377DC93" w14:textId="5B101E3D" w:rsidR="00065680" w:rsidRDefault="00ED3DFB" w:rsidP="009A6909">
            <w:pPr>
              <w:jc w:val="both"/>
              <w:rPr>
                <w:rFonts w:cs="Arial"/>
                <w:szCs w:val="24"/>
              </w:rPr>
            </w:pPr>
            <w:r>
              <w:rPr>
                <w:rFonts w:cs="Arial"/>
                <w:szCs w:val="24"/>
              </w:rPr>
              <w:t xml:space="preserve">Wealdstone South </w:t>
            </w:r>
          </w:p>
          <w:p w14:paraId="0855E66C" w14:textId="70373CA1" w:rsidR="00065680" w:rsidRPr="00307F76" w:rsidRDefault="00065680" w:rsidP="009A6909">
            <w:pPr>
              <w:jc w:val="both"/>
              <w:rPr>
                <w:rFonts w:cs="Arial"/>
                <w:b/>
                <w:color w:val="FF0000"/>
                <w:szCs w:val="24"/>
              </w:rPr>
            </w:pPr>
          </w:p>
        </w:tc>
      </w:tr>
      <w:tr w:rsidR="00065680" w14:paraId="5BE0500A" w14:textId="77777777" w:rsidTr="008E1116">
        <w:tc>
          <w:tcPr>
            <w:tcW w:w="3456" w:type="dxa"/>
          </w:tcPr>
          <w:p w14:paraId="4D6673D1" w14:textId="77777777" w:rsidR="00065680" w:rsidRPr="00C13A5F" w:rsidRDefault="00065680" w:rsidP="009A6909">
            <w:pPr>
              <w:pStyle w:val="Infotext"/>
              <w:spacing w:after="240"/>
              <w:jc w:val="both"/>
              <w:rPr>
                <w:rFonts w:ascii="Arial Black" w:hAnsi="Arial Black" w:cs="Arial"/>
              </w:rPr>
            </w:pPr>
            <w:r w:rsidRPr="00C13A5F">
              <w:rPr>
                <w:rFonts w:ascii="Arial Black" w:hAnsi="Arial Black" w:cs="Arial"/>
              </w:rPr>
              <w:t>Enclosures:</w:t>
            </w:r>
          </w:p>
        </w:tc>
        <w:tc>
          <w:tcPr>
            <w:tcW w:w="5054" w:type="dxa"/>
          </w:tcPr>
          <w:p w14:paraId="6C5ECE15" w14:textId="5B0E7A7E" w:rsidR="00480FD1" w:rsidRDefault="00480FD1" w:rsidP="009A6909">
            <w:pPr>
              <w:pStyle w:val="Infotext"/>
              <w:rPr>
                <w:sz w:val="24"/>
                <w:szCs w:val="24"/>
              </w:rPr>
            </w:pPr>
            <w:r w:rsidRPr="009A6909">
              <w:rPr>
                <w:sz w:val="24"/>
                <w:szCs w:val="24"/>
              </w:rPr>
              <w:t>Appendix 1</w:t>
            </w:r>
            <w:r>
              <w:rPr>
                <w:sz w:val="24"/>
                <w:szCs w:val="24"/>
              </w:rPr>
              <w:t xml:space="preserve"> </w:t>
            </w:r>
            <w:r w:rsidR="009A6909">
              <w:rPr>
                <w:sz w:val="24"/>
                <w:szCs w:val="24"/>
              </w:rPr>
              <w:t xml:space="preserve">- </w:t>
            </w:r>
            <w:r>
              <w:rPr>
                <w:sz w:val="24"/>
                <w:szCs w:val="24"/>
              </w:rPr>
              <w:t xml:space="preserve">Application for </w:t>
            </w:r>
            <w:r w:rsidR="009A6909">
              <w:rPr>
                <w:sz w:val="24"/>
                <w:szCs w:val="24"/>
              </w:rPr>
              <w:t>R</w:t>
            </w:r>
            <w:r>
              <w:rPr>
                <w:sz w:val="24"/>
                <w:szCs w:val="24"/>
              </w:rPr>
              <w:t xml:space="preserve">eview </w:t>
            </w:r>
          </w:p>
          <w:p w14:paraId="12BF2635" w14:textId="77777777" w:rsidR="001252AE" w:rsidRDefault="001252AE" w:rsidP="009A6909">
            <w:pPr>
              <w:pStyle w:val="Infotext"/>
              <w:rPr>
                <w:sz w:val="24"/>
                <w:szCs w:val="24"/>
              </w:rPr>
            </w:pPr>
          </w:p>
          <w:p w14:paraId="004BD99B" w14:textId="16854BF1" w:rsidR="00480FD1" w:rsidRDefault="00480FD1" w:rsidP="009A6909">
            <w:pPr>
              <w:pStyle w:val="Infotext"/>
              <w:rPr>
                <w:sz w:val="24"/>
                <w:szCs w:val="24"/>
              </w:rPr>
            </w:pPr>
            <w:r w:rsidRPr="009A6909">
              <w:rPr>
                <w:sz w:val="24"/>
                <w:szCs w:val="24"/>
              </w:rPr>
              <w:t>Appendix 2</w:t>
            </w:r>
            <w:r w:rsidR="009A6909">
              <w:rPr>
                <w:sz w:val="24"/>
                <w:szCs w:val="24"/>
              </w:rPr>
              <w:t xml:space="preserve"> -</w:t>
            </w:r>
            <w:r>
              <w:rPr>
                <w:sz w:val="24"/>
                <w:szCs w:val="24"/>
              </w:rPr>
              <w:t xml:space="preserve"> </w:t>
            </w:r>
            <w:r w:rsidR="00EA3B5A">
              <w:rPr>
                <w:sz w:val="24"/>
                <w:szCs w:val="24"/>
              </w:rPr>
              <w:t xml:space="preserve">Current </w:t>
            </w:r>
            <w:r w:rsidR="009A6909">
              <w:rPr>
                <w:sz w:val="24"/>
                <w:szCs w:val="24"/>
              </w:rPr>
              <w:t>P</w:t>
            </w:r>
            <w:r>
              <w:rPr>
                <w:sz w:val="24"/>
                <w:szCs w:val="24"/>
              </w:rPr>
              <w:t xml:space="preserve">remises </w:t>
            </w:r>
            <w:r w:rsidR="009A6909">
              <w:rPr>
                <w:sz w:val="24"/>
                <w:szCs w:val="24"/>
              </w:rPr>
              <w:t>L</w:t>
            </w:r>
            <w:r>
              <w:rPr>
                <w:sz w:val="24"/>
                <w:szCs w:val="24"/>
              </w:rPr>
              <w:t>icence</w:t>
            </w:r>
            <w:r w:rsidR="00EA3B5A">
              <w:rPr>
                <w:sz w:val="24"/>
                <w:szCs w:val="24"/>
              </w:rPr>
              <w:t xml:space="preserve"> and </w:t>
            </w:r>
            <w:r w:rsidR="009A6909">
              <w:rPr>
                <w:sz w:val="24"/>
                <w:szCs w:val="24"/>
              </w:rPr>
              <w:t>P</w:t>
            </w:r>
            <w:r w:rsidR="00EA3B5A">
              <w:rPr>
                <w:sz w:val="24"/>
                <w:szCs w:val="24"/>
              </w:rPr>
              <w:t>lan</w:t>
            </w:r>
          </w:p>
          <w:p w14:paraId="3650BD02" w14:textId="77777777" w:rsidR="001252AE" w:rsidRDefault="001252AE" w:rsidP="009A6909">
            <w:pPr>
              <w:pStyle w:val="Infotext"/>
              <w:rPr>
                <w:sz w:val="24"/>
                <w:szCs w:val="24"/>
              </w:rPr>
            </w:pPr>
          </w:p>
          <w:p w14:paraId="627A87D1" w14:textId="4A2987EF" w:rsidR="007C1325" w:rsidRDefault="007C1325" w:rsidP="009A6909">
            <w:pPr>
              <w:pStyle w:val="Infotext"/>
              <w:rPr>
                <w:sz w:val="24"/>
                <w:szCs w:val="24"/>
              </w:rPr>
            </w:pPr>
            <w:r w:rsidRPr="009A6909">
              <w:rPr>
                <w:sz w:val="24"/>
                <w:szCs w:val="24"/>
              </w:rPr>
              <w:t>Appendix 3</w:t>
            </w:r>
            <w:r>
              <w:rPr>
                <w:sz w:val="24"/>
                <w:szCs w:val="24"/>
              </w:rPr>
              <w:t xml:space="preserve"> - Representations</w:t>
            </w:r>
          </w:p>
          <w:p w14:paraId="241C3AA3" w14:textId="77777777" w:rsidR="001252AE" w:rsidRDefault="001252AE" w:rsidP="009A6909">
            <w:pPr>
              <w:pStyle w:val="Infotext"/>
              <w:rPr>
                <w:sz w:val="24"/>
                <w:szCs w:val="24"/>
              </w:rPr>
            </w:pPr>
          </w:p>
          <w:p w14:paraId="0C14DDCA" w14:textId="526FBFC1" w:rsidR="00480FD1" w:rsidRDefault="00480FD1" w:rsidP="009A6909">
            <w:pPr>
              <w:pStyle w:val="Infotext"/>
              <w:rPr>
                <w:sz w:val="24"/>
                <w:szCs w:val="24"/>
              </w:rPr>
            </w:pPr>
            <w:r w:rsidRPr="009A6909">
              <w:rPr>
                <w:sz w:val="24"/>
                <w:szCs w:val="24"/>
              </w:rPr>
              <w:t xml:space="preserve">Appendix </w:t>
            </w:r>
            <w:r w:rsidR="007C1325" w:rsidRPr="009A6909">
              <w:rPr>
                <w:sz w:val="24"/>
                <w:szCs w:val="24"/>
              </w:rPr>
              <w:t>4</w:t>
            </w:r>
            <w:r w:rsidR="009A6909">
              <w:rPr>
                <w:sz w:val="24"/>
                <w:szCs w:val="24"/>
              </w:rPr>
              <w:t xml:space="preserve"> -</w:t>
            </w:r>
            <w:r>
              <w:rPr>
                <w:sz w:val="24"/>
                <w:szCs w:val="24"/>
              </w:rPr>
              <w:t xml:space="preserve"> </w:t>
            </w:r>
            <w:r w:rsidR="00EA3B5A">
              <w:rPr>
                <w:sz w:val="24"/>
                <w:szCs w:val="24"/>
              </w:rPr>
              <w:t xml:space="preserve">Relevant </w:t>
            </w:r>
            <w:r w:rsidR="009A6909">
              <w:rPr>
                <w:sz w:val="24"/>
                <w:szCs w:val="24"/>
              </w:rPr>
              <w:t>S</w:t>
            </w:r>
            <w:r w:rsidR="00EA3B5A">
              <w:rPr>
                <w:sz w:val="24"/>
                <w:szCs w:val="24"/>
              </w:rPr>
              <w:t>ection of the Statement of Licensing Policy</w:t>
            </w:r>
          </w:p>
          <w:p w14:paraId="752276A5" w14:textId="77777777" w:rsidR="001252AE" w:rsidRDefault="001252AE" w:rsidP="009A6909">
            <w:pPr>
              <w:pStyle w:val="Infotext"/>
              <w:rPr>
                <w:sz w:val="24"/>
                <w:szCs w:val="24"/>
              </w:rPr>
            </w:pPr>
          </w:p>
          <w:p w14:paraId="178D4010" w14:textId="6A024BCA" w:rsidR="00480FD1" w:rsidRPr="009A6909" w:rsidRDefault="00480FD1" w:rsidP="009A6909">
            <w:pPr>
              <w:pStyle w:val="Infotext"/>
              <w:rPr>
                <w:sz w:val="24"/>
                <w:szCs w:val="24"/>
              </w:rPr>
            </w:pPr>
            <w:r w:rsidRPr="009A6909">
              <w:rPr>
                <w:sz w:val="24"/>
                <w:szCs w:val="24"/>
              </w:rPr>
              <w:t xml:space="preserve">Appendix </w:t>
            </w:r>
            <w:r w:rsidR="007C1325" w:rsidRPr="009A6909">
              <w:rPr>
                <w:sz w:val="24"/>
                <w:szCs w:val="24"/>
              </w:rPr>
              <w:t>5</w:t>
            </w:r>
            <w:r>
              <w:rPr>
                <w:sz w:val="24"/>
                <w:szCs w:val="24"/>
              </w:rPr>
              <w:t xml:space="preserve"> </w:t>
            </w:r>
            <w:r w:rsidR="009A6909">
              <w:rPr>
                <w:sz w:val="24"/>
                <w:szCs w:val="24"/>
              </w:rPr>
              <w:t>-</w:t>
            </w:r>
            <w:r>
              <w:rPr>
                <w:sz w:val="24"/>
                <w:szCs w:val="24"/>
              </w:rPr>
              <w:t xml:space="preserve"> </w:t>
            </w:r>
            <w:r w:rsidR="00EA3B5A">
              <w:rPr>
                <w:sz w:val="24"/>
                <w:szCs w:val="24"/>
              </w:rPr>
              <w:t xml:space="preserve">Relevant </w:t>
            </w:r>
            <w:r w:rsidR="009A6909">
              <w:rPr>
                <w:sz w:val="24"/>
                <w:szCs w:val="24"/>
              </w:rPr>
              <w:t>S</w:t>
            </w:r>
            <w:r w:rsidR="00EA3B5A">
              <w:rPr>
                <w:sz w:val="24"/>
                <w:szCs w:val="24"/>
              </w:rPr>
              <w:t xml:space="preserve">ection of the </w:t>
            </w:r>
            <w:r w:rsidR="00EA3B5A" w:rsidRPr="009A6909">
              <w:rPr>
                <w:sz w:val="24"/>
                <w:szCs w:val="24"/>
              </w:rPr>
              <w:t>Statutory Guidance</w:t>
            </w:r>
          </w:p>
          <w:p w14:paraId="049274FD" w14:textId="77777777" w:rsidR="001252AE" w:rsidRDefault="001252AE" w:rsidP="009A6909">
            <w:pPr>
              <w:pStyle w:val="Infotext"/>
              <w:rPr>
                <w:sz w:val="24"/>
                <w:szCs w:val="24"/>
              </w:rPr>
            </w:pPr>
          </w:p>
          <w:p w14:paraId="778D5C29" w14:textId="462E9838" w:rsidR="00A345D2" w:rsidRDefault="00A345D2" w:rsidP="009A6909">
            <w:pPr>
              <w:pStyle w:val="Infotext"/>
              <w:rPr>
                <w:sz w:val="24"/>
                <w:szCs w:val="24"/>
              </w:rPr>
            </w:pPr>
            <w:r w:rsidRPr="009A6909">
              <w:rPr>
                <w:sz w:val="24"/>
                <w:szCs w:val="24"/>
              </w:rPr>
              <w:t xml:space="preserve">Appendix </w:t>
            </w:r>
            <w:r w:rsidR="007C1325" w:rsidRPr="009A6909">
              <w:rPr>
                <w:sz w:val="24"/>
                <w:szCs w:val="24"/>
              </w:rPr>
              <w:t>6</w:t>
            </w:r>
            <w:r w:rsidR="009A6909">
              <w:rPr>
                <w:sz w:val="24"/>
                <w:szCs w:val="24"/>
              </w:rPr>
              <w:t xml:space="preserve"> -</w:t>
            </w:r>
            <w:r>
              <w:rPr>
                <w:sz w:val="24"/>
                <w:szCs w:val="24"/>
              </w:rPr>
              <w:t xml:space="preserve"> Location </w:t>
            </w:r>
            <w:r w:rsidR="009A6909">
              <w:rPr>
                <w:sz w:val="24"/>
                <w:szCs w:val="24"/>
              </w:rPr>
              <w:t>M</w:t>
            </w:r>
            <w:r>
              <w:rPr>
                <w:sz w:val="24"/>
                <w:szCs w:val="24"/>
              </w:rPr>
              <w:t xml:space="preserve">ap and </w:t>
            </w:r>
            <w:r w:rsidR="009A6909">
              <w:rPr>
                <w:sz w:val="24"/>
                <w:szCs w:val="24"/>
              </w:rPr>
              <w:t>I</w:t>
            </w:r>
            <w:r>
              <w:rPr>
                <w:sz w:val="24"/>
                <w:szCs w:val="24"/>
              </w:rPr>
              <w:t xml:space="preserve">mage of the </w:t>
            </w:r>
            <w:r w:rsidR="009A6909">
              <w:rPr>
                <w:sz w:val="24"/>
                <w:szCs w:val="24"/>
              </w:rPr>
              <w:t>P</w:t>
            </w:r>
            <w:r>
              <w:rPr>
                <w:sz w:val="24"/>
                <w:szCs w:val="24"/>
              </w:rPr>
              <w:t>remises</w:t>
            </w:r>
          </w:p>
          <w:p w14:paraId="3DCF7C4C" w14:textId="709F1AE3" w:rsidR="00065680" w:rsidRPr="005E3A10" w:rsidRDefault="00065680" w:rsidP="009A6909">
            <w:pPr>
              <w:pStyle w:val="Infotext"/>
              <w:jc w:val="both"/>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6AF514B0" w14:textId="77777777" w:rsidTr="001252AE">
        <w:trPr>
          <w:tblHeader/>
        </w:trPr>
        <w:tc>
          <w:tcPr>
            <w:tcW w:w="8309" w:type="dxa"/>
            <w:tcBorders>
              <w:top w:val="nil"/>
              <w:left w:val="nil"/>
              <w:right w:val="nil"/>
            </w:tcBorders>
          </w:tcPr>
          <w:p w14:paraId="0329858D" w14:textId="77777777" w:rsidR="00065680" w:rsidRDefault="00065680" w:rsidP="009A6909">
            <w:pPr>
              <w:pStyle w:val="Heading2"/>
              <w:spacing w:after="240"/>
              <w:jc w:val="both"/>
            </w:pPr>
            <w:r>
              <w:t>Sectio</w:t>
            </w:r>
            <w:r w:rsidR="00BD6333">
              <w:t>n 1 – Summary</w:t>
            </w:r>
          </w:p>
        </w:tc>
      </w:tr>
      <w:tr w:rsidR="00065680" w14:paraId="7FBB2A5D" w14:textId="77777777" w:rsidTr="001252AE">
        <w:trPr>
          <w:tblHeader/>
        </w:trPr>
        <w:tc>
          <w:tcPr>
            <w:tcW w:w="8309" w:type="dxa"/>
          </w:tcPr>
          <w:p w14:paraId="7856A257" w14:textId="77777777" w:rsidR="005326AE" w:rsidRDefault="00F419C2" w:rsidP="009A6909">
            <w:pPr>
              <w:jc w:val="both"/>
            </w:pPr>
            <w:r>
              <w:t xml:space="preserve">This report asks the Panel to consider the application for a Review received from the </w:t>
            </w:r>
            <w:r w:rsidR="00EA3B5A">
              <w:t xml:space="preserve">Metropolitan Police Service </w:t>
            </w:r>
            <w:r w:rsidR="002A62B4">
              <w:t>under s.51</w:t>
            </w:r>
            <w:r w:rsidR="00EA3B5A">
              <w:t xml:space="preserve"> of the Licensing Act 2003 (“the Act”)</w:t>
            </w:r>
            <w:r>
              <w:t>.</w:t>
            </w:r>
          </w:p>
          <w:p w14:paraId="20D86B0C" w14:textId="77777777" w:rsidR="005326AE" w:rsidRDefault="005326AE" w:rsidP="009A6909">
            <w:pPr>
              <w:jc w:val="both"/>
            </w:pPr>
          </w:p>
          <w:p w14:paraId="301D9CD2" w14:textId="77777777" w:rsidR="005326AE" w:rsidRDefault="005326AE" w:rsidP="009A6909">
            <w:pPr>
              <w:jc w:val="both"/>
              <w:rPr>
                <w:rFonts w:cs="Arial"/>
              </w:rPr>
            </w:pPr>
            <w:r>
              <w:t>The application relates to</w:t>
            </w:r>
            <w:r w:rsidR="00EA3B5A">
              <w:t xml:space="preserve"> </w:t>
            </w:r>
            <w:r w:rsidR="00EA3B5A" w:rsidRPr="00ED3DFB">
              <w:rPr>
                <w:rFonts w:cs="Arial"/>
              </w:rPr>
              <w:t xml:space="preserve">Seán </w:t>
            </w:r>
            <w:proofErr w:type="spellStart"/>
            <w:r w:rsidR="00EA3B5A" w:rsidRPr="00ED3DFB">
              <w:rPr>
                <w:rFonts w:cs="Arial"/>
              </w:rPr>
              <w:t>Óg</w:t>
            </w:r>
            <w:proofErr w:type="spellEnd"/>
            <w:r w:rsidR="00EA3B5A" w:rsidRPr="00ED3DFB">
              <w:rPr>
                <w:rFonts w:cs="Arial"/>
              </w:rPr>
              <w:t>, 108 High Street, Wealdstone, Harrow, HA3 7AH</w:t>
            </w:r>
            <w:r w:rsidR="002C2E7A">
              <w:rPr>
                <w:rFonts w:cs="Arial"/>
              </w:rPr>
              <w:t xml:space="preserve">. </w:t>
            </w:r>
          </w:p>
          <w:p w14:paraId="165E42AE" w14:textId="77777777" w:rsidR="005326AE" w:rsidRDefault="005326AE" w:rsidP="009A6909">
            <w:pPr>
              <w:jc w:val="both"/>
              <w:rPr>
                <w:rFonts w:cs="Arial"/>
              </w:rPr>
            </w:pPr>
          </w:p>
          <w:p w14:paraId="52AC2F8D" w14:textId="48BEFDBA" w:rsidR="003E12B2" w:rsidRDefault="002C2E7A" w:rsidP="009A6909">
            <w:pPr>
              <w:jc w:val="both"/>
            </w:pPr>
            <w:r>
              <w:rPr>
                <w:rFonts w:cs="Arial"/>
              </w:rPr>
              <w:t xml:space="preserve">The review has been </w:t>
            </w:r>
            <w:r w:rsidR="00C72F1B">
              <w:rPr>
                <w:rFonts w:cs="Arial"/>
              </w:rPr>
              <w:t xml:space="preserve">submitted </w:t>
            </w:r>
            <w:proofErr w:type="gramStart"/>
            <w:r>
              <w:rPr>
                <w:rFonts w:cs="Arial"/>
              </w:rPr>
              <w:t>as a result of</w:t>
            </w:r>
            <w:proofErr w:type="gramEnd"/>
            <w:r>
              <w:rPr>
                <w:rFonts w:cs="Arial"/>
              </w:rPr>
              <w:t xml:space="preserve"> undermining the licensing objectives of prevention of crime and disorder and public safety</w:t>
            </w:r>
            <w:r w:rsidR="00C72F1B">
              <w:rPr>
                <w:rFonts w:cs="Arial"/>
              </w:rPr>
              <w:t>.</w:t>
            </w:r>
          </w:p>
          <w:p w14:paraId="24417F3E" w14:textId="5CC572D8" w:rsidR="003E12B2" w:rsidRDefault="003E12B2" w:rsidP="009A6909">
            <w:pPr>
              <w:jc w:val="both"/>
            </w:pPr>
          </w:p>
        </w:tc>
      </w:tr>
    </w:tbl>
    <w:p w14:paraId="55E2E9D1" w14:textId="516C1FDB" w:rsidR="006A233E" w:rsidRDefault="00312137" w:rsidP="009A6909">
      <w:pPr>
        <w:pStyle w:val="Heading2"/>
        <w:jc w:val="both"/>
      </w:pPr>
      <w:r>
        <w:lastRenderedPageBreak/>
        <w:t xml:space="preserve">Section </w:t>
      </w:r>
      <w:r w:rsidR="006A233E">
        <w:t>2 – Report</w:t>
      </w:r>
    </w:p>
    <w:p w14:paraId="6D79D567" w14:textId="77777777" w:rsidR="002669CC" w:rsidRPr="002669CC" w:rsidRDefault="002669CC" w:rsidP="009A6909">
      <w:pPr>
        <w:jc w:val="both"/>
      </w:pPr>
    </w:p>
    <w:p w14:paraId="20E57FF5" w14:textId="09899522" w:rsidR="002F166F" w:rsidRPr="002F166F" w:rsidRDefault="002669CC" w:rsidP="009A6909">
      <w:pPr>
        <w:pStyle w:val="BodyTextIndent"/>
        <w:spacing w:after="0"/>
        <w:ind w:left="567" w:hanging="567"/>
        <w:jc w:val="both"/>
      </w:pPr>
      <w:r>
        <w:rPr>
          <w:rFonts w:cs="Arial"/>
        </w:rPr>
        <w:t>2.1</w:t>
      </w:r>
      <w:r>
        <w:rPr>
          <w:rFonts w:cs="Arial"/>
        </w:rPr>
        <w:tab/>
      </w:r>
      <w:r w:rsidR="00A345D2">
        <w:rPr>
          <w:rFonts w:cs="Arial"/>
        </w:rPr>
        <w:t xml:space="preserve">An application has been received on behalf of the Metropolitan Police Service under s.51 of the Licensing Act 2003 (“the Act”) to review the premises licence for </w:t>
      </w:r>
      <w:r w:rsidR="00A345D2" w:rsidRPr="00ED3DFB">
        <w:rPr>
          <w:rFonts w:cs="Arial"/>
        </w:rPr>
        <w:t xml:space="preserve">Seán </w:t>
      </w:r>
      <w:proofErr w:type="spellStart"/>
      <w:r w:rsidR="00A345D2" w:rsidRPr="00ED3DFB">
        <w:rPr>
          <w:rFonts w:cs="Arial"/>
        </w:rPr>
        <w:t>Óg</w:t>
      </w:r>
      <w:proofErr w:type="spellEnd"/>
      <w:r w:rsidR="00A345D2" w:rsidRPr="00ED3DFB">
        <w:rPr>
          <w:rFonts w:cs="Arial"/>
        </w:rPr>
        <w:t>, 108 High Street, Wealdstone, Harrow, HA3 7AH.</w:t>
      </w:r>
      <w:r w:rsidR="00A345D2">
        <w:rPr>
          <w:rFonts w:cs="Arial"/>
        </w:rPr>
        <w:t>, currently held by Paul Martin Ne</w:t>
      </w:r>
      <w:r w:rsidR="002F166F">
        <w:rPr>
          <w:rFonts w:cs="Arial"/>
        </w:rPr>
        <w:t>e.</w:t>
      </w:r>
    </w:p>
    <w:p w14:paraId="16449432" w14:textId="46C579FB" w:rsidR="00A345D2" w:rsidRDefault="00A345D2" w:rsidP="009A6909">
      <w:pPr>
        <w:pStyle w:val="BodyTextIndent"/>
        <w:tabs>
          <w:tab w:val="num" w:pos="567"/>
        </w:tabs>
        <w:spacing w:after="0"/>
        <w:ind w:left="360"/>
        <w:jc w:val="both"/>
      </w:pPr>
      <w:r>
        <w:rPr>
          <w:rFonts w:cs="Arial"/>
        </w:rPr>
        <w:t xml:space="preserve"> </w:t>
      </w:r>
    </w:p>
    <w:p w14:paraId="5FF5F4E4" w14:textId="77777777" w:rsidR="00A345D2" w:rsidRPr="00B502D9" w:rsidRDefault="00A345D2" w:rsidP="009A6909">
      <w:pPr>
        <w:pStyle w:val="BodyTextIndent"/>
        <w:tabs>
          <w:tab w:val="num" w:pos="567"/>
        </w:tabs>
        <w:spacing w:after="0"/>
        <w:ind w:left="360"/>
        <w:jc w:val="both"/>
      </w:pPr>
    </w:p>
    <w:p w14:paraId="79C0A78A" w14:textId="6AF8AEF5" w:rsidR="00A345D2" w:rsidRPr="00E53F4D" w:rsidRDefault="00A345D2" w:rsidP="009A6909">
      <w:pPr>
        <w:pStyle w:val="BodyTextIndent"/>
        <w:numPr>
          <w:ilvl w:val="1"/>
          <w:numId w:val="25"/>
        </w:numPr>
        <w:spacing w:after="0"/>
        <w:ind w:left="567" w:hanging="567"/>
        <w:jc w:val="both"/>
        <w:rPr>
          <w:rFonts w:cs="Arial"/>
        </w:rPr>
      </w:pPr>
      <w:r>
        <w:rPr>
          <w:rFonts w:cs="Arial"/>
        </w:rPr>
        <w:t xml:space="preserve">The Licensing Objectives to which the review applications </w:t>
      </w:r>
      <w:r w:rsidR="00145857">
        <w:rPr>
          <w:rFonts w:cs="Arial"/>
        </w:rPr>
        <w:t>relate</w:t>
      </w:r>
      <w:r>
        <w:rPr>
          <w:rFonts w:cs="Arial"/>
        </w:rPr>
        <w:t xml:space="preserve"> to are:</w:t>
      </w:r>
    </w:p>
    <w:p w14:paraId="6EE85BBB" w14:textId="77777777" w:rsidR="00A345D2" w:rsidRDefault="00A345D2" w:rsidP="009A6909">
      <w:pPr>
        <w:pStyle w:val="BodyTextIndent"/>
        <w:spacing w:after="0"/>
        <w:ind w:left="567"/>
        <w:jc w:val="both"/>
        <w:rPr>
          <w:rFonts w:cs="Arial"/>
        </w:rPr>
      </w:pPr>
    </w:p>
    <w:p w14:paraId="631405D9" w14:textId="7DDBB328" w:rsidR="00A345D2" w:rsidRPr="00E53F4D" w:rsidRDefault="00A345D2" w:rsidP="009A6909">
      <w:pPr>
        <w:pStyle w:val="BodyTextIndent"/>
        <w:numPr>
          <w:ilvl w:val="0"/>
          <w:numId w:val="21"/>
        </w:numPr>
        <w:tabs>
          <w:tab w:val="num" w:pos="1843"/>
        </w:tabs>
        <w:spacing w:after="0"/>
        <w:ind w:hanging="240"/>
        <w:jc w:val="both"/>
        <w:rPr>
          <w:rFonts w:cs="Arial"/>
        </w:rPr>
      </w:pPr>
      <w:r w:rsidRPr="00E53F4D">
        <w:rPr>
          <w:rFonts w:cs="Arial"/>
        </w:rPr>
        <w:t xml:space="preserve">Prevention of Crime and </w:t>
      </w:r>
      <w:proofErr w:type="gramStart"/>
      <w:r w:rsidRPr="00E53F4D">
        <w:rPr>
          <w:rFonts w:cs="Arial"/>
        </w:rPr>
        <w:t>Disorder;</w:t>
      </w:r>
      <w:proofErr w:type="gramEnd"/>
    </w:p>
    <w:p w14:paraId="12314BD9" w14:textId="6CD30A9F" w:rsidR="00A345D2" w:rsidRPr="00E53F4D" w:rsidRDefault="00A345D2" w:rsidP="009A6909">
      <w:pPr>
        <w:pStyle w:val="BodyTextIndent"/>
        <w:numPr>
          <w:ilvl w:val="0"/>
          <w:numId w:val="21"/>
        </w:numPr>
        <w:tabs>
          <w:tab w:val="num" w:pos="1843"/>
        </w:tabs>
        <w:spacing w:after="0"/>
        <w:ind w:hanging="240"/>
        <w:jc w:val="both"/>
        <w:rPr>
          <w:rFonts w:cs="Arial"/>
        </w:rPr>
      </w:pPr>
      <w:r w:rsidRPr="00E53F4D">
        <w:rPr>
          <w:rFonts w:cs="Arial"/>
        </w:rPr>
        <w:t xml:space="preserve">Public </w:t>
      </w:r>
      <w:proofErr w:type="gramStart"/>
      <w:r w:rsidRPr="00E53F4D">
        <w:rPr>
          <w:rFonts w:cs="Arial"/>
        </w:rPr>
        <w:t>Safety;</w:t>
      </w:r>
      <w:proofErr w:type="gramEnd"/>
    </w:p>
    <w:p w14:paraId="565AD280" w14:textId="754A5DA6" w:rsidR="002F166F" w:rsidRDefault="002F166F" w:rsidP="009A6909">
      <w:pPr>
        <w:pStyle w:val="BodyTextIndent"/>
        <w:tabs>
          <w:tab w:val="num" w:pos="567"/>
        </w:tabs>
        <w:spacing w:after="0"/>
        <w:jc w:val="both"/>
      </w:pPr>
    </w:p>
    <w:p w14:paraId="2665A025" w14:textId="731B1AEC" w:rsidR="002F166F" w:rsidRDefault="002669CC" w:rsidP="009A6909">
      <w:pPr>
        <w:pStyle w:val="BodyTextIndent"/>
        <w:tabs>
          <w:tab w:val="num" w:pos="567"/>
        </w:tabs>
        <w:spacing w:after="0"/>
        <w:ind w:left="567" w:hanging="567"/>
        <w:jc w:val="both"/>
      </w:pPr>
      <w:r>
        <w:rPr>
          <w:rFonts w:cs="Arial"/>
        </w:rPr>
        <w:t>2.3</w:t>
      </w:r>
      <w:r w:rsidR="00E53F4D" w:rsidRPr="002669CC">
        <w:rPr>
          <w:rFonts w:cs="Arial"/>
        </w:rPr>
        <w:t xml:space="preserve"> </w:t>
      </w:r>
      <w:r w:rsidR="00E53F4D" w:rsidRPr="002669CC">
        <w:rPr>
          <w:rFonts w:cs="Arial"/>
        </w:rPr>
        <w:tab/>
      </w:r>
      <w:r w:rsidR="002F166F" w:rsidRPr="002669CC">
        <w:rPr>
          <w:rFonts w:cs="Arial"/>
        </w:rPr>
        <w:t xml:space="preserve">The </w:t>
      </w:r>
      <w:r w:rsidR="00E53F4D" w:rsidRPr="002669CC">
        <w:rPr>
          <w:rFonts w:cs="Arial"/>
        </w:rPr>
        <w:t>Metropolitan police</w:t>
      </w:r>
      <w:r w:rsidR="002F166F" w:rsidRPr="002669CC">
        <w:rPr>
          <w:rFonts w:cs="Arial"/>
        </w:rPr>
        <w:t xml:space="preserve"> have </w:t>
      </w:r>
      <w:r w:rsidR="00E53F4D" w:rsidRPr="002669CC">
        <w:rPr>
          <w:rFonts w:cs="Arial"/>
        </w:rPr>
        <w:t>submitted</w:t>
      </w:r>
      <w:r w:rsidR="002F166F" w:rsidRPr="002669CC">
        <w:rPr>
          <w:rFonts w:cs="Arial"/>
        </w:rPr>
        <w:t xml:space="preserve"> the review following ongoing issues</w:t>
      </w:r>
      <w:r w:rsidR="002F166F">
        <w:t xml:space="preserve"> with the premises which they </w:t>
      </w:r>
      <w:r w:rsidR="00E53F4D">
        <w:t>have</w:t>
      </w:r>
      <w:r w:rsidR="002F166F">
        <w:t xml:space="preserve"> previously sought to resolve </w:t>
      </w:r>
      <w:r w:rsidR="001E7954">
        <w:t>informally</w:t>
      </w:r>
      <w:r w:rsidR="002F166F">
        <w:t>.</w:t>
      </w:r>
      <w:r w:rsidR="00E53F4D">
        <w:t xml:space="preserve"> </w:t>
      </w:r>
      <w:r w:rsidR="002F166F">
        <w:t>Including:</w:t>
      </w:r>
    </w:p>
    <w:p w14:paraId="2DE1A141" w14:textId="43F3FAFA" w:rsidR="002F166F" w:rsidRDefault="002F166F" w:rsidP="009A6909">
      <w:pPr>
        <w:pStyle w:val="BodyTextIndent"/>
        <w:tabs>
          <w:tab w:val="num" w:pos="567"/>
        </w:tabs>
        <w:spacing w:after="0"/>
        <w:jc w:val="both"/>
      </w:pPr>
    </w:p>
    <w:p w14:paraId="5CA69FB0" w14:textId="2891EAB8" w:rsidR="002F166F" w:rsidRDefault="002F166F" w:rsidP="009A6909">
      <w:pPr>
        <w:pStyle w:val="BodyTextIndent"/>
        <w:numPr>
          <w:ilvl w:val="0"/>
          <w:numId w:val="21"/>
        </w:numPr>
        <w:tabs>
          <w:tab w:val="num" w:pos="1843"/>
        </w:tabs>
        <w:spacing w:after="0"/>
        <w:ind w:hanging="240"/>
        <w:jc w:val="both"/>
        <w:rPr>
          <w:rFonts w:cs="Arial"/>
        </w:rPr>
      </w:pPr>
      <w:r w:rsidRPr="009A6909">
        <w:rPr>
          <w:rFonts w:cs="Arial"/>
        </w:rPr>
        <w:t>13 August 2018, Officer witnessed issued with the CCTV system</w:t>
      </w:r>
    </w:p>
    <w:p w14:paraId="00E66FA9" w14:textId="77777777" w:rsidR="009A6909" w:rsidRPr="009A6909" w:rsidRDefault="009A6909" w:rsidP="009A6909">
      <w:pPr>
        <w:pStyle w:val="BodyTextIndent"/>
        <w:spacing w:after="0"/>
        <w:ind w:left="960"/>
        <w:jc w:val="both"/>
        <w:rPr>
          <w:rFonts w:cs="Arial"/>
        </w:rPr>
      </w:pPr>
    </w:p>
    <w:p w14:paraId="2175E3DC" w14:textId="23565F91" w:rsidR="002F166F" w:rsidRDefault="002F166F" w:rsidP="009A6909">
      <w:pPr>
        <w:pStyle w:val="BodyTextIndent"/>
        <w:numPr>
          <w:ilvl w:val="0"/>
          <w:numId w:val="21"/>
        </w:numPr>
        <w:tabs>
          <w:tab w:val="num" w:pos="1843"/>
        </w:tabs>
        <w:spacing w:after="0"/>
        <w:ind w:hanging="240"/>
        <w:jc w:val="both"/>
        <w:rPr>
          <w:rFonts w:cs="Arial"/>
        </w:rPr>
      </w:pPr>
      <w:r w:rsidRPr="009A6909">
        <w:rPr>
          <w:rFonts w:cs="Arial"/>
        </w:rPr>
        <w:t xml:space="preserve">05 January </w:t>
      </w:r>
      <w:r w:rsidR="00C72F1B" w:rsidRPr="009A6909">
        <w:rPr>
          <w:rFonts w:cs="Arial"/>
        </w:rPr>
        <w:t>2019, A</w:t>
      </w:r>
      <w:r w:rsidRPr="009A6909">
        <w:rPr>
          <w:rFonts w:cs="Arial"/>
        </w:rPr>
        <w:t xml:space="preserve"> written warning issued in relation to issues with the CCTV recording system and refusals log</w:t>
      </w:r>
    </w:p>
    <w:p w14:paraId="7A433B27" w14:textId="77777777" w:rsidR="009A6909" w:rsidRDefault="009A6909" w:rsidP="009A6909">
      <w:pPr>
        <w:pStyle w:val="ListParagraph"/>
        <w:rPr>
          <w:rFonts w:cs="Arial"/>
        </w:rPr>
      </w:pPr>
    </w:p>
    <w:p w14:paraId="42B3258B" w14:textId="0041408E" w:rsidR="002F166F" w:rsidRDefault="002F166F" w:rsidP="009A6909">
      <w:pPr>
        <w:pStyle w:val="BodyTextIndent"/>
        <w:numPr>
          <w:ilvl w:val="0"/>
          <w:numId w:val="21"/>
        </w:numPr>
        <w:tabs>
          <w:tab w:val="num" w:pos="1843"/>
        </w:tabs>
        <w:spacing w:after="0"/>
        <w:ind w:hanging="240"/>
        <w:jc w:val="both"/>
        <w:rPr>
          <w:rFonts w:cs="Arial"/>
        </w:rPr>
      </w:pPr>
      <w:r w:rsidRPr="009A6909">
        <w:rPr>
          <w:rFonts w:cs="Arial"/>
        </w:rPr>
        <w:t>31 January 2020, a further written warning f</w:t>
      </w:r>
      <w:r w:rsidR="001E7954" w:rsidRPr="009A6909">
        <w:rPr>
          <w:rFonts w:cs="Arial"/>
        </w:rPr>
        <w:t>o</w:t>
      </w:r>
      <w:r w:rsidRPr="009A6909">
        <w:rPr>
          <w:rFonts w:cs="Arial"/>
        </w:rPr>
        <w:t xml:space="preserve">r </w:t>
      </w:r>
      <w:r w:rsidR="001E7954" w:rsidRPr="009A6909">
        <w:rPr>
          <w:rFonts w:cs="Arial"/>
        </w:rPr>
        <w:t>issues</w:t>
      </w:r>
      <w:r w:rsidRPr="009A6909">
        <w:rPr>
          <w:rFonts w:cs="Arial"/>
        </w:rPr>
        <w:t xml:space="preserve"> with the CCTV system</w:t>
      </w:r>
    </w:p>
    <w:p w14:paraId="22A0156B" w14:textId="77777777" w:rsidR="009A6909" w:rsidRDefault="009A6909" w:rsidP="009A6909">
      <w:pPr>
        <w:pStyle w:val="ListParagraph"/>
        <w:rPr>
          <w:rFonts w:cs="Arial"/>
        </w:rPr>
      </w:pPr>
    </w:p>
    <w:p w14:paraId="01F023CA" w14:textId="1AB2165C" w:rsidR="002F166F" w:rsidRPr="009A6909" w:rsidRDefault="002F166F" w:rsidP="009A6909">
      <w:pPr>
        <w:pStyle w:val="BodyTextIndent"/>
        <w:numPr>
          <w:ilvl w:val="0"/>
          <w:numId w:val="21"/>
        </w:numPr>
        <w:tabs>
          <w:tab w:val="num" w:pos="1843"/>
        </w:tabs>
        <w:spacing w:after="0"/>
        <w:ind w:hanging="240"/>
        <w:jc w:val="both"/>
        <w:rPr>
          <w:rFonts w:cs="Arial"/>
        </w:rPr>
      </w:pPr>
      <w:r w:rsidRPr="009A6909">
        <w:rPr>
          <w:rFonts w:cs="Arial"/>
        </w:rPr>
        <w:t xml:space="preserve">24 February 2022, a final warning </w:t>
      </w:r>
      <w:r w:rsidR="001E7954" w:rsidRPr="009A6909">
        <w:rPr>
          <w:rFonts w:cs="Arial"/>
        </w:rPr>
        <w:t>issued</w:t>
      </w:r>
      <w:r w:rsidRPr="009A6909">
        <w:rPr>
          <w:rFonts w:cs="Arial"/>
        </w:rPr>
        <w:t xml:space="preserve"> for </w:t>
      </w:r>
      <w:r w:rsidR="001E7954" w:rsidRPr="009A6909">
        <w:rPr>
          <w:rFonts w:cs="Arial"/>
        </w:rPr>
        <w:t>conducting alleged licensable activities without a valid authorisation (trading past their licensed hours).</w:t>
      </w:r>
    </w:p>
    <w:p w14:paraId="73001AA4" w14:textId="70001353" w:rsidR="00D45DCB" w:rsidRPr="009A6909" w:rsidRDefault="00D45DCB" w:rsidP="009A6909">
      <w:pPr>
        <w:pStyle w:val="BodyTextIndent"/>
        <w:spacing w:after="0"/>
        <w:ind w:left="960"/>
        <w:jc w:val="both"/>
        <w:rPr>
          <w:rFonts w:cs="Arial"/>
        </w:rPr>
      </w:pPr>
    </w:p>
    <w:p w14:paraId="4DF23BDB" w14:textId="60EF1F31" w:rsidR="00D45DCB" w:rsidRDefault="00D45DCB" w:rsidP="009A6909">
      <w:pPr>
        <w:pStyle w:val="BodyTextIndent"/>
        <w:tabs>
          <w:tab w:val="num" w:pos="567"/>
        </w:tabs>
        <w:spacing w:after="0"/>
        <w:ind w:left="360"/>
        <w:jc w:val="both"/>
      </w:pPr>
    </w:p>
    <w:p w14:paraId="755A9E19" w14:textId="65F329A0" w:rsidR="002669CC" w:rsidRDefault="002669CC" w:rsidP="009A6909">
      <w:pPr>
        <w:pStyle w:val="BodyTextIndent"/>
        <w:tabs>
          <w:tab w:val="num" w:pos="567"/>
        </w:tabs>
        <w:spacing w:after="0"/>
        <w:ind w:left="567" w:hanging="567"/>
        <w:jc w:val="both"/>
      </w:pPr>
      <w:r>
        <w:t>2.4</w:t>
      </w:r>
      <w:r w:rsidR="00E53F4D">
        <w:t xml:space="preserve"> </w:t>
      </w:r>
      <w:r w:rsidR="00E53F4D">
        <w:tab/>
      </w:r>
      <w:r w:rsidR="00D45DCB">
        <w:t>On</w:t>
      </w:r>
      <w:r w:rsidR="002A62B4">
        <w:t xml:space="preserve"> </w:t>
      </w:r>
      <w:r w:rsidR="00D45DCB">
        <w:t>11 March 2023 a serious incident of violence took place inside the premises</w:t>
      </w:r>
      <w:r w:rsidR="00E53F4D">
        <w:t>.  T</w:t>
      </w:r>
      <w:r w:rsidR="002A62B4">
        <w:t xml:space="preserve">his incident </w:t>
      </w:r>
      <w:r w:rsidR="00E53F4D">
        <w:t>occurred</w:t>
      </w:r>
      <w:r w:rsidR="002A62B4">
        <w:t xml:space="preserve"> after the premises should have been closed according to the licence conditions and included evidence from parties that licens</w:t>
      </w:r>
      <w:r w:rsidR="00C72F1B">
        <w:t>able</w:t>
      </w:r>
      <w:r w:rsidR="002A62B4">
        <w:t xml:space="preserve"> activities were alleged to be occurring after the </w:t>
      </w:r>
      <w:r w:rsidR="00E53F4D">
        <w:t xml:space="preserve">permitted </w:t>
      </w:r>
      <w:r w:rsidR="002A62B4">
        <w:t>hours.</w:t>
      </w:r>
    </w:p>
    <w:p w14:paraId="2598FACD" w14:textId="77777777" w:rsidR="002669CC" w:rsidRDefault="002669CC" w:rsidP="009A6909">
      <w:pPr>
        <w:pStyle w:val="BodyTextIndent"/>
        <w:tabs>
          <w:tab w:val="num" w:pos="567"/>
        </w:tabs>
        <w:spacing w:after="0"/>
        <w:ind w:left="567" w:hanging="567"/>
        <w:jc w:val="both"/>
      </w:pPr>
    </w:p>
    <w:p w14:paraId="565308CA" w14:textId="62C3A0FF" w:rsidR="002669CC" w:rsidRDefault="002669CC" w:rsidP="009A6909">
      <w:pPr>
        <w:pStyle w:val="BodyTextIndent"/>
        <w:tabs>
          <w:tab w:val="num" w:pos="567"/>
        </w:tabs>
        <w:spacing w:after="0"/>
        <w:ind w:left="567" w:hanging="567"/>
        <w:jc w:val="both"/>
      </w:pPr>
      <w:r>
        <w:t>2.5</w:t>
      </w:r>
      <w:r>
        <w:tab/>
        <w:t>The Application to review the premises licence was received on the 6 April 2023. The application has been advertised in accordance with the prescribed regulations</w:t>
      </w:r>
    </w:p>
    <w:p w14:paraId="513B5633" w14:textId="77777777" w:rsidR="00A345D2" w:rsidRDefault="00A345D2" w:rsidP="009A6909">
      <w:pPr>
        <w:pStyle w:val="BodyTextIndent"/>
        <w:tabs>
          <w:tab w:val="num" w:pos="567"/>
        </w:tabs>
        <w:spacing w:after="0"/>
        <w:ind w:left="360"/>
        <w:jc w:val="both"/>
        <w:rPr>
          <w:rFonts w:cs="Arial"/>
        </w:rPr>
      </w:pPr>
    </w:p>
    <w:p w14:paraId="6C66C0DC" w14:textId="77777777" w:rsidR="00A345D2" w:rsidRPr="00ED7249" w:rsidRDefault="00A345D2" w:rsidP="009A6909">
      <w:pPr>
        <w:pStyle w:val="BodyTextIndent"/>
        <w:tabs>
          <w:tab w:val="num" w:pos="567"/>
        </w:tabs>
        <w:spacing w:after="0"/>
        <w:ind w:left="360"/>
        <w:jc w:val="both"/>
      </w:pPr>
      <w:r w:rsidRPr="00AF395F">
        <w:rPr>
          <w:u w:val="single"/>
        </w:rPr>
        <w:t>Description of premises</w:t>
      </w:r>
    </w:p>
    <w:p w14:paraId="3D01AC10" w14:textId="77777777" w:rsidR="00A345D2" w:rsidRPr="00ED7249" w:rsidRDefault="00A345D2" w:rsidP="009A6909">
      <w:pPr>
        <w:pStyle w:val="BodyTextIndent"/>
        <w:tabs>
          <w:tab w:val="num" w:pos="567"/>
        </w:tabs>
        <w:spacing w:after="0"/>
        <w:ind w:left="360"/>
        <w:jc w:val="both"/>
      </w:pPr>
    </w:p>
    <w:p w14:paraId="6307E0A2" w14:textId="77777777" w:rsidR="002669CC" w:rsidRPr="002669CC" w:rsidRDefault="00A345D2" w:rsidP="009A6909">
      <w:pPr>
        <w:pStyle w:val="BodyTextIndent"/>
        <w:numPr>
          <w:ilvl w:val="1"/>
          <w:numId w:val="26"/>
        </w:numPr>
        <w:spacing w:after="0"/>
        <w:ind w:left="567" w:hanging="567"/>
        <w:jc w:val="both"/>
      </w:pPr>
      <w:r w:rsidRPr="00ED7249">
        <w:rPr>
          <w:rFonts w:cs="Calibri"/>
          <w:color w:val="000000"/>
          <w:lang w:eastAsia="en-GB"/>
        </w:rPr>
        <w:t xml:space="preserve">The premises are located on the busy </w:t>
      </w:r>
      <w:r>
        <w:rPr>
          <w:rFonts w:cs="Calibri"/>
          <w:color w:val="000000"/>
          <w:lang w:eastAsia="en-GB"/>
        </w:rPr>
        <w:t>highway of High Street, Wealdstone.</w:t>
      </w:r>
      <w:r w:rsidRPr="00ED7249">
        <w:rPr>
          <w:rFonts w:cs="Calibri"/>
          <w:color w:val="000000"/>
          <w:lang w:eastAsia="en-GB"/>
        </w:rPr>
        <w:t xml:space="preserve">  </w:t>
      </w:r>
      <w:r>
        <w:rPr>
          <w:rFonts w:cs="Calibri"/>
          <w:color w:val="000000"/>
          <w:lang w:eastAsia="en-GB"/>
        </w:rPr>
        <w:t xml:space="preserve">The premises is a public house which conducts its main business from the ground </w:t>
      </w:r>
      <w:proofErr w:type="gramStart"/>
      <w:r>
        <w:rPr>
          <w:rFonts w:cs="Calibri"/>
          <w:color w:val="000000"/>
          <w:lang w:eastAsia="en-GB"/>
        </w:rPr>
        <w:t>floor</w:t>
      </w:r>
      <w:proofErr w:type="gramEnd"/>
      <w:r>
        <w:rPr>
          <w:rFonts w:cs="Calibri"/>
          <w:color w:val="000000"/>
          <w:lang w:eastAsia="en-GB"/>
        </w:rPr>
        <w:t xml:space="preserve"> and</w:t>
      </w:r>
      <w:r w:rsidR="00472239">
        <w:rPr>
          <w:rFonts w:cs="Calibri"/>
          <w:color w:val="000000"/>
          <w:lang w:eastAsia="en-GB"/>
        </w:rPr>
        <w:t xml:space="preserve"> it </w:t>
      </w:r>
      <w:r w:rsidR="00C72F1B">
        <w:rPr>
          <w:rFonts w:cs="Calibri"/>
          <w:color w:val="000000"/>
          <w:lang w:eastAsia="en-GB"/>
        </w:rPr>
        <w:t>is also</w:t>
      </w:r>
      <w:r>
        <w:rPr>
          <w:rFonts w:cs="Calibri"/>
          <w:color w:val="000000"/>
          <w:lang w:eastAsia="en-GB"/>
        </w:rPr>
        <w:t xml:space="preserve"> advertising that it has a rooftop garden</w:t>
      </w:r>
    </w:p>
    <w:p w14:paraId="2F28F2FD" w14:textId="77777777" w:rsidR="002669CC" w:rsidRDefault="002669CC" w:rsidP="009A6909">
      <w:pPr>
        <w:pStyle w:val="BodyTextIndent"/>
        <w:spacing w:after="0"/>
        <w:ind w:left="567"/>
        <w:jc w:val="both"/>
      </w:pPr>
    </w:p>
    <w:p w14:paraId="6AFD375C" w14:textId="233C8004" w:rsidR="00A345D2" w:rsidRDefault="00A345D2" w:rsidP="009A6909">
      <w:pPr>
        <w:pStyle w:val="BodyTextIndent"/>
        <w:numPr>
          <w:ilvl w:val="1"/>
          <w:numId w:val="26"/>
        </w:numPr>
        <w:spacing w:after="0"/>
        <w:ind w:left="567" w:hanging="567"/>
        <w:jc w:val="both"/>
      </w:pPr>
      <w:r>
        <w:t xml:space="preserve">An image of the premises and a location map are provided at Appendix </w:t>
      </w:r>
      <w:r w:rsidR="007C1325">
        <w:t>6</w:t>
      </w:r>
      <w:r>
        <w:t>.</w:t>
      </w:r>
    </w:p>
    <w:p w14:paraId="0F41AED3" w14:textId="72626463" w:rsidR="00A345D2" w:rsidRDefault="00A345D2" w:rsidP="009A6909">
      <w:pPr>
        <w:pStyle w:val="BodyTextIndent"/>
        <w:spacing w:after="0"/>
        <w:ind w:left="360"/>
        <w:jc w:val="both"/>
      </w:pPr>
    </w:p>
    <w:p w14:paraId="43B224D9" w14:textId="243C6E7A" w:rsidR="009A6909" w:rsidRDefault="009A6909" w:rsidP="009A6909">
      <w:pPr>
        <w:pStyle w:val="BodyTextIndent"/>
        <w:spacing w:after="0"/>
        <w:ind w:left="360"/>
        <w:jc w:val="both"/>
      </w:pPr>
    </w:p>
    <w:p w14:paraId="3D670966" w14:textId="34E0680B" w:rsidR="009A6909" w:rsidRDefault="009A6909" w:rsidP="009A6909">
      <w:pPr>
        <w:pStyle w:val="BodyTextIndent"/>
        <w:spacing w:after="0"/>
        <w:ind w:left="360"/>
        <w:jc w:val="both"/>
      </w:pPr>
    </w:p>
    <w:p w14:paraId="20044D9B" w14:textId="77777777" w:rsidR="009A6909" w:rsidRDefault="009A6909" w:rsidP="009A6909">
      <w:pPr>
        <w:pStyle w:val="BodyTextIndent"/>
        <w:spacing w:after="0"/>
        <w:ind w:left="360"/>
        <w:jc w:val="both"/>
      </w:pPr>
    </w:p>
    <w:p w14:paraId="65DC856E" w14:textId="64273697" w:rsidR="00A345D2" w:rsidRDefault="00A345D2" w:rsidP="009A6909">
      <w:pPr>
        <w:pStyle w:val="BodyTextIndent"/>
        <w:spacing w:after="0"/>
        <w:ind w:left="360"/>
        <w:jc w:val="both"/>
        <w:rPr>
          <w:u w:val="single"/>
        </w:rPr>
      </w:pPr>
      <w:r>
        <w:rPr>
          <w:u w:val="single"/>
        </w:rPr>
        <w:lastRenderedPageBreak/>
        <w:t>Licensing history</w:t>
      </w:r>
    </w:p>
    <w:p w14:paraId="730AADC7" w14:textId="77777777" w:rsidR="002669CC" w:rsidRDefault="002669CC" w:rsidP="009A6909">
      <w:pPr>
        <w:pStyle w:val="BodyTextIndent"/>
        <w:spacing w:after="0"/>
        <w:ind w:left="360"/>
        <w:jc w:val="both"/>
        <w:rPr>
          <w:u w:val="single"/>
        </w:rPr>
      </w:pPr>
    </w:p>
    <w:p w14:paraId="5433E7B8" w14:textId="18204540" w:rsidR="00A345D2" w:rsidRPr="00ED7249" w:rsidRDefault="00A345D2" w:rsidP="009A6909">
      <w:pPr>
        <w:pStyle w:val="BodyTextIndent"/>
        <w:numPr>
          <w:ilvl w:val="1"/>
          <w:numId w:val="26"/>
        </w:numPr>
        <w:spacing w:after="0"/>
        <w:ind w:left="567" w:hanging="567"/>
        <w:jc w:val="both"/>
      </w:pPr>
      <w:r>
        <w:t xml:space="preserve">A premises licence was first granted </w:t>
      </w:r>
      <w:r w:rsidR="00472239">
        <w:t xml:space="preserve">in 2005 by way of a conversion application made under the transitional provisions under the Act. </w:t>
      </w:r>
      <w:r>
        <w:t xml:space="preserve">The licensing authority received an application to </w:t>
      </w:r>
      <w:r w:rsidR="00472239">
        <w:t xml:space="preserve">transfer the licence and </w:t>
      </w:r>
      <w:r w:rsidR="00C72F1B">
        <w:t>to vary</w:t>
      </w:r>
      <w:r w:rsidR="00472239">
        <w:t xml:space="preserve"> the designated premises supervisor to Mr Paul Martin Nee on 7 August 2017</w:t>
      </w:r>
      <w:r>
        <w:t xml:space="preserve">.  </w:t>
      </w:r>
      <w:r w:rsidR="00472239">
        <w:t>After this time, n</w:t>
      </w:r>
      <w:r>
        <w:t xml:space="preserve">o further applications have been received.  </w:t>
      </w:r>
    </w:p>
    <w:p w14:paraId="664D64F1" w14:textId="77777777" w:rsidR="00A345D2" w:rsidRDefault="00A345D2" w:rsidP="009A6909">
      <w:pPr>
        <w:pStyle w:val="ListParagraph"/>
        <w:ind w:left="1281"/>
        <w:jc w:val="both"/>
        <w:rPr>
          <w:u w:val="single"/>
        </w:rPr>
      </w:pPr>
    </w:p>
    <w:p w14:paraId="42266F5B" w14:textId="06043CD8" w:rsidR="00A345D2" w:rsidRDefault="00A345D2" w:rsidP="009A6909">
      <w:pPr>
        <w:pStyle w:val="BodyTextIndent"/>
        <w:numPr>
          <w:ilvl w:val="1"/>
          <w:numId w:val="26"/>
        </w:numPr>
        <w:spacing w:after="0"/>
        <w:ind w:left="567" w:hanging="567"/>
        <w:jc w:val="both"/>
      </w:pPr>
      <w:r>
        <w:t xml:space="preserve">The </w:t>
      </w:r>
      <w:r w:rsidRPr="002669CC">
        <w:rPr>
          <w:rFonts w:cs="Calibri"/>
          <w:color w:val="000000"/>
          <w:lang w:eastAsia="en-GB"/>
        </w:rPr>
        <w:t>current premises licence</w:t>
      </w:r>
      <w:r w:rsidR="002669CC" w:rsidRPr="002669CC">
        <w:rPr>
          <w:rFonts w:cs="Calibri"/>
          <w:color w:val="000000"/>
          <w:lang w:eastAsia="en-GB"/>
        </w:rPr>
        <w:t xml:space="preserve"> including operating hours, conditions </w:t>
      </w:r>
      <w:r w:rsidRPr="002669CC">
        <w:rPr>
          <w:rFonts w:cs="Calibri"/>
          <w:color w:val="000000"/>
          <w:lang w:eastAsia="en-GB"/>
        </w:rPr>
        <w:t>and plan are attached</w:t>
      </w:r>
      <w:r>
        <w:t xml:space="preserve"> at </w:t>
      </w:r>
      <w:r w:rsidR="00682C3F">
        <w:t>A</w:t>
      </w:r>
      <w:r>
        <w:t xml:space="preserve">ppendix </w:t>
      </w:r>
      <w:r w:rsidR="00472239">
        <w:t>2</w:t>
      </w:r>
      <w:r>
        <w:t xml:space="preserve">.  </w:t>
      </w:r>
    </w:p>
    <w:p w14:paraId="578ACEEC" w14:textId="77777777" w:rsidR="00A345D2" w:rsidRDefault="00A345D2" w:rsidP="009A6909">
      <w:pPr>
        <w:pStyle w:val="BodyTextIndent"/>
        <w:jc w:val="both"/>
        <w:rPr>
          <w:u w:val="single"/>
        </w:rPr>
      </w:pPr>
    </w:p>
    <w:p w14:paraId="1BE2BAAE" w14:textId="0B57CD7D" w:rsidR="00A345D2" w:rsidRDefault="00A345D2" w:rsidP="009A6909">
      <w:pPr>
        <w:pStyle w:val="BodyTextIndent"/>
        <w:ind w:left="0" w:firstLine="360"/>
        <w:jc w:val="both"/>
        <w:rPr>
          <w:u w:val="single"/>
        </w:rPr>
      </w:pPr>
      <w:r w:rsidRPr="002F633F">
        <w:rPr>
          <w:u w:val="single"/>
        </w:rPr>
        <w:t>Representations</w:t>
      </w:r>
    </w:p>
    <w:p w14:paraId="2E9AA462" w14:textId="4750EE9F" w:rsidR="001E7954" w:rsidRPr="00E53F4D" w:rsidRDefault="00472239" w:rsidP="009A6909">
      <w:pPr>
        <w:pStyle w:val="BodyTextIndent"/>
        <w:numPr>
          <w:ilvl w:val="1"/>
          <w:numId w:val="27"/>
        </w:numPr>
        <w:spacing w:after="0"/>
        <w:ind w:left="567" w:hanging="567"/>
        <w:jc w:val="both"/>
      </w:pPr>
      <w:r>
        <w:t>The authority has received one representation from</w:t>
      </w:r>
      <w:r w:rsidR="001E7954">
        <w:t xml:space="preserve"> Alan Riley, Licensing Officer on behalf of </w:t>
      </w:r>
      <w:r>
        <w:t xml:space="preserve">the </w:t>
      </w:r>
      <w:r w:rsidR="002609B6">
        <w:t>L</w:t>
      </w:r>
      <w:r>
        <w:t xml:space="preserve">icensing </w:t>
      </w:r>
      <w:r w:rsidR="002609B6">
        <w:t>A</w:t>
      </w:r>
      <w:r>
        <w:t>uthority</w:t>
      </w:r>
      <w:r w:rsidR="00C72F1B">
        <w:t xml:space="preserve"> in its capacity</w:t>
      </w:r>
      <w:r>
        <w:t xml:space="preserve"> </w:t>
      </w:r>
      <w:r w:rsidR="001E7954">
        <w:t>as</w:t>
      </w:r>
      <w:r>
        <w:t xml:space="preserve"> a responsible authority.</w:t>
      </w:r>
      <w:r w:rsidR="009026BC">
        <w:t xml:space="preserve">  The representation is based on the undermining of the prevention of crime and disorder, the prevention of public nuisance and the public safety objectives. </w:t>
      </w:r>
    </w:p>
    <w:p w14:paraId="52C200DA" w14:textId="7DA11785" w:rsidR="001E7954" w:rsidRPr="00E53F4D" w:rsidRDefault="001E7954" w:rsidP="009A6909">
      <w:pPr>
        <w:pStyle w:val="BodyTextIndent"/>
        <w:spacing w:after="0"/>
        <w:ind w:left="567"/>
        <w:jc w:val="both"/>
      </w:pPr>
    </w:p>
    <w:p w14:paraId="6E7DDA99" w14:textId="3B3187ED" w:rsidR="000279A6" w:rsidRDefault="009026BC" w:rsidP="009A6909">
      <w:pPr>
        <w:pStyle w:val="BodyTextIndent"/>
        <w:numPr>
          <w:ilvl w:val="1"/>
          <w:numId w:val="27"/>
        </w:numPr>
        <w:spacing w:after="0"/>
        <w:ind w:left="567" w:hanging="567"/>
        <w:jc w:val="both"/>
      </w:pPr>
      <w:r>
        <w:t xml:space="preserve">The representation explains that the metropolitan police and </w:t>
      </w:r>
      <w:r w:rsidR="00FE3109">
        <w:t>L</w:t>
      </w:r>
      <w:r>
        <w:t xml:space="preserve">icence </w:t>
      </w:r>
      <w:r w:rsidR="00FE3109">
        <w:t>A</w:t>
      </w:r>
      <w:r>
        <w:t>uthority have issued warnings to the current licen</w:t>
      </w:r>
      <w:r w:rsidR="00E53F4D">
        <w:t>ce holder</w:t>
      </w:r>
      <w:r>
        <w:t xml:space="preserve"> regarding the undermining of licensing objectives and breach of conditions. </w:t>
      </w:r>
      <w:r w:rsidR="000279A6">
        <w:t>The representation shows additional history including a letter of warning in 2017 shortly after transfer of the licence.  The warning letter is attached to his representation under AR1.</w:t>
      </w:r>
    </w:p>
    <w:p w14:paraId="41F516C2" w14:textId="77777777" w:rsidR="002669CC" w:rsidRDefault="002669CC" w:rsidP="009A6909">
      <w:pPr>
        <w:pStyle w:val="ListParagraph"/>
        <w:jc w:val="both"/>
      </w:pPr>
    </w:p>
    <w:p w14:paraId="4ED4EF53" w14:textId="7638614A" w:rsidR="00E53F4D" w:rsidRDefault="00E53F4D" w:rsidP="009A6909">
      <w:pPr>
        <w:pStyle w:val="BodyTextIndent"/>
        <w:numPr>
          <w:ilvl w:val="1"/>
          <w:numId w:val="27"/>
        </w:numPr>
        <w:spacing w:after="0"/>
        <w:ind w:left="567" w:hanging="567"/>
        <w:jc w:val="both"/>
      </w:pPr>
      <w:r>
        <w:t xml:space="preserve">The Licensing </w:t>
      </w:r>
      <w:r w:rsidR="0000776B">
        <w:t>O</w:t>
      </w:r>
      <w:r>
        <w:t>fficer states that d</w:t>
      </w:r>
      <w:r w:rsidR="009026BC">
        <w:t>espite several attempts made by two responsible authorities, the licen</w:t>
      </w:r>
      <w:r>
        <w:t>ce holder</w:t>
      </w:r>
      <w:r w:rsidR="009026BC">
        <w:t xml:space="preserve"> has consistently failed to comply with requirements. </w:t>
      </w:r>
    </w:p>
    <w:p w14:paraId="59EE3378" w14:textId="77777777" w:rsidR="00E53F4D" w:rsidRDefault="00E53F4D" w:rsidP="009A6909">
      <w:pPr>
        <w:pStyle w:val="ListParagraph"/>
        <w:jc w:val="both"/>
      </w:pPr>
    </w:p>
    <w:p w14:paraId="3A7A056A" w14:textId="270D4CC4" w:rsidR="00A345D2" w:rsidRDefault="009026BC" w:rsidP="009A6909">
      <w:pPr>
        <w:pStyle w:val="BodyTextIndent"/>
        <w:numPr>
          <w:ilvl w:val="1"/>
          <w:numId w:val="27"/>
        </w:numPr>
        <w:spacing w:after="0"/>
        <w:ind w:left="567" w:hanging="567"/>
        <w:jc w:val="both"/>
      </w:pPr>
      <w:r>
        <w:t>Due to consistent fai</w:t>
      </w:r>
      <w:r w:rsidR="00C72F1B">
        <w:t>lu</w:t>
      </w:r>
      <w:r>
        <w:t xml:space="preserve">res, </w:t>
      </w:r>
      <w:r w:rsidR="003339C0">
        <w:t xml:space="preserve">and </w:t>
      </w:r>
      <w:r>
        <w:t>lack of confidence in the licen</w:t>
      </w:r>
      <w:r w:rsidR="00E53F4D">
        <w:t>ce holder</w:t>
      </w:r>
      <w:r>
        <w:t xml:space="preserve"> and the bar manager, the</w:t>
      </w:r>
      <w:r w:rsidR="00D45DCB">
        <w:t xml:space="preserve"> Licensing Officer</w:t>
      </w:r>
      <w:r>
        <w:t xml:space="preserve"> </w:t>
      </w:r>
      <w:r w:rsidR="00D45DCB">
        <w:t>recommends</w:t>
      </w:r>
      <w:r>
        <w:t xml:space="preserve"> that the </w:t>
      </w:r>
      <w:r w:rsidR="00D45DCB">
        <w:t>Committee consider revocation of the licence</w:t>
      </w:r>
      <w:r>
        <w:t>.</w:t>
      </w:r>
    </w:p>
    <w:p w14:paraId="54BCB313" w14:textId="77777777" w:rsidR="000279A6" w:rsidRDefault="000279A6" w:rsidP="009A6909">
      <w:pPr>
        <w:pStyle w:val="ListParagraph"/>
        <w:jc w:val="both"/>
      </w:pPr>
    </w:p>
    <w:p w14:paraId="2E80B7E2" w14:textId="77777777" w:rsidR="003339C0" w:rsidRPr="009026BC" w:rsidRDefault="003339C0" w:rsidP="009A6909">
      <w:pPr>
        <w:pStyle w:val="BodyTextIndent"/>
        <w:spacing w:after="0"/>
        <w:jc w:val="both"/>
        <w:rPr>
          <w:u w:val="single"/>
        </w:rPr>
      </w:pPr>
    </w:p>
    <w:p w14:paraId="762E7F2F" w14:textId="77777777" w:rsidR="00A345D2" w:rsidRDefault="00A345D2" w:rsidP="009A6909">
      <w:pPr>
        <w:pStyle w:val="BodyTextIndent"/>
        <w:spacing w:after="0"/>
        <w:ind w:left="0" w:firstLine="360"/>
        <w:jc w:val="both"/>
        <w:rPr>
          <w:u w:val="single"/>
        </w:rPr>
      </w:pPr>
      <w:r w:rsidRPr="00D22C2D">
        <w:rPr>
          <w:u w:val="single"/>
        </w:rPr>
        <w:t>Officer observations</w:t>
      </w:r>
    </w:p>
    <w:p w14:paraId="70D21972" w14:textId="77777777" w:rsidR="00A345D2" w:rsidRDefault="00A345D2" w:rsidP="009A6909">
      <w:pPr>
        <w:pStyle w:val="BodyTextIndent"/>
        <w:spacing w:after="0"/>
        <w:jc w:val="both"/>
        <w:rPr>
          <w:u w:val="single"/>
        </w:rPr>
      </w:pPr>
    </w:p>
    <w:p w14:paraId="3423D138" w14:textId="55850EF7" w:rsidR="000279A6" w:rsidRDefault="00A345D2" w:rsidP="009A6909">
      <w:pPr>
        <w:pStyle w:val="BodyTextIndent"/>
        <w:numPr>
          <w:ilvl w:val="1"/>
          <w:numId w:val="27"/>
        </w:numPr>
        <w:spacing w:after="0"/>
        <w:ind w:left="567" w:hanging="567"/>
        <w:jc w:val="both"/>
      </w:pPr>
      <w:r>
        <w:t>The applicant alleges that during several visits by the police</w:t>
      </w:r>
      <w:r w:rsidR="003166C9">
        <w:t xml:space="preserve"> to ensure compliance</w:t>
      </w:r>
      <w:r>
        <w:t>, the licensee has not been able to uphold one or more of the four licensing objectives</w:t>
      </w:r>
      <w:r w:rsidR="003166C9">
        <w:t>.  Th</w:t>
      </w:r>
      <w:r w:rsidR="00E53F4D">
        <w:t xml:space="preserve">at </w:t>
      </w:r>
      <w:r w:rsidR="003166C9">
        <w:t>licensing objectives are being undermined and conditions are not being complied with (including the times for licensable activities and hours open to public). This is despite trying to work with the licen</w:t>
      </w:r>
      <w:r w:rsidR="00E53F4D">
        <w:t>ce holder</w:t>
      </w:r>
      <w:r w:rsidR="003166C9">
        <w:t xml:space="preserve"> on several occasions and issuing warning letters</w:t>
      </w:r>
      <w:r w:rsidR="00E53F4D">
        <w:t xml:space="preserve">. </w:t>
      </w:r>
    </w:p>
    <w:p w14:paraId="699C598C" w14:textId="77777777" w:rsidR="000279A6" w:rsidRDefault="000279A6" w:rsidP="009A6909">
      <w:pPr>
        <w:pStyle w:val="BodyTextIndent"/>
        <w:spacing w:after="0"/>
        <w:ind w:left="567"/>
        <w:jc w:val="both"/>
      </w:pPr>
    </w:p>
    <w:p w14:paraId="47270F7E" w14:textId="6BF95E0C" w:rsidR="00A345D2" w:rsidRDefault="00E53F4D" w:rsidP="009A6909">
      <w:pPr>
        <w:pStyle w:val="BodyTextIndent"/>
        <w:numPr>
          <w:ilvl w:val="1"/>
          <w:numId w:val="27"/>
        </w:numPr>
        <w:spacing w:after="0"/>
        <w:ind w:left="567" w:hanging="567"/>
        <w:jc w:val="both"/>
      </w:pPr>
      <w:r>
        <w:t xml:space="preserve">The applicant has put forward conditions that may be considered appropriate to be placed on the licence if the Panel is minded </w:t>
      </w:r>
      <w:proofErr w:type="gramStart"/>
      <w:r>
        <w:t>to consider</w:t>
      </w:r>
      <w:proofErr w:type="gramEnd"/>
      <w:r>
        <w:t xml:space="preserve"> this as an appropriate option.</w:t>
      </w:r>
      <w:r w:rsidR="000279A6">
        <w:t xml:space="preserve"> They also suggest a reduction in hours.  The </w:t>
      </w:r>
      <w:r w:rsidR="00D132B6">
        <w:t>L</w:t>
      </w:r>
      <w:r w:rsidR="000279A6">
        <w:t>icensing Officer</w:t>
      </w:r>
      <w:r w:rsidR="00D132B6">
        <w:t>’s</w:t>
      </w:r>
      <w:r w:rsidR="000279A6">
        <w:t xml:space="preserve"> representation identifies further history with the premises and suggests that if the Panel are minded</w:t>
      </w:r>
      <w:r w:rsidR="005D5876">
        <w:t>;</w:t>
      </w:r>
      <w:r w:rsidR="000279A6">
        <w:t xml:space="preserve"> that revocation of the licence should be considered.</w:t>
      </w:r>
    </w:p>
    <w:p w14:paraId="08251CD9" w14:textId="77777777" w:rsidR="00E53F4D" w:rsidRDefault="00E53F4D" w:rsidP="009A6909">
      <w:pPr>
        <w:pStyle w:val="BodyTextIndent"/>
        <w:spacing w:after="0"/>
        <w:ind w:left="567"/>
        <w:jc w:val="both"/>
      </w:pPr>
    </w:p>
    <w:p w14:paraId="5EE158C8" w14:textId="5899F076" w:rsidR="008501E9" w:rsidRDefault="008501E9" w:rsidP="009A6909">
      <w:pPr>
        <w:pStyle w:val="BodyTextIndent"/>
        <w:numPr>
          <w:ilvl w:val="1"/>
          <w:numId w:val="27"/>
        </w:numPr>
        <w:spacing w:after="0"/>
        <w:ind w:left="567" w:hanging="567"/>
        <w:jc w:val="both"/>
      </w:pPr>
      <w:r>
        <w:lastRenderedPageBreak/>
        <w:t xml:space="preserve">It is noted by officers that during the latest incident of grievous bodily harm that took place at the premises, Mr Nee was not present. The incident took place beyond the hours authorised by licence. As the premises was still trading after authorised hours, this is a breach of </w:t>
      </w:r>
      <w:r w:rsidR="004B6B5C">
        <w:t>P</w:t>
      </w:r>
      <w:r>
        <w:t>art 7 - s.136 (unauthorised licensable activities) of the Act.</w:t>
      </w:r>
    </w:p>
    <w:p w14:paraId="06B772E3" w14:textId="77777777" w:rsidR="002663F4" w:rsidRDefault="002663F4" w:rsidP="009A6909">
      <w:pPr>
        <w:pStyle w:val="ListParagraph"/>
        <w:jc w:val="both"/>
      </w:pPr>
    </w:p>
    <w:p w14:paraId="46BF13C7" w14:textId="4F8DAD4F" w:rsidR="002663F4" w:rsidRDefault="002663F4" w:rsidP="009A6909">
      <w:pPr>
        <w:pStyle w:val="BodyTextIndent"/>
        <w:numPr>
          <w:ilvl w:val="1"/>
          <w:numId w:val="27"/>
        </w:numPr>
        <w:spacing w:after="0"/>
        <w:ind w:left="567" w:hanging="567"/>
        <w:jc w:val="both"/>
      </w:pPr>
      <w:r>
        <w:t>The Panel must, having regard to the application and any relevant representations, determine the appropriate outcome for the hearing which may include</w:t>
      </w:r>
      <w:r w:rsidRPr="00E53F4D">
        <w:t xml:space="preserve">: </w:t>
      </w:r>
    </w:p>
    <w:p w14:paraId="3D43BAEB" w14:textId="77777777" w:rsidR="001252AE" w:rsidRDefault="001252AE" w:rsidP="001252AE">
      <w:pPr>
        <w:pStyle w:val="ListParagraph"/>
      </w:pPr>
    </w:p>
    <w:p w14:paraId="1BC7F2C4" w14:textId="77777777" w:rsidR="002663F4" w:rsidRPr="009B0A0D" w:rsidRDefault="002663F4" w:rsidP="001252AE">
      <w:pPr>
        <w:pStyle w:val="BodyTextIndent"/>
        <w:numPr>
          <w:ilvl w:val="0"/>
          <w:numId w:val="17"/>
        </w:numPr>
        <w:tabs>
          <w:tab w:val="clear" w:pos="360"/>
        </w:tabs>
        <w:spacing w:after="0"/>
        <w:ind w:left="1080"/>
        <w:jc w:val="both"/>
      </w:pPr>
      <w:r>
        <w:t>t</w:t>
      </w:r>
      <w:r w:rsidRPr="009B0A0D">
        <w:t xml:space="preserve">o modify the conditions of the </w:t>
      </w:r>
      <w:proofErr w:type="gramStart"/>
      <w:r>
        <w:t>l</w:t>
      </w:r>
      <w:r w:rsidRPr="009B0A0D">
        <w:t>icence</w:t>
      </w:r>
      <w:r>
        <w:t>;</w:t>
      </w:r>
      <w:proofErr w:type="gramEnd"/>
    </w:p>
    <w:p w14:paraId="60B8F6FC" w14:textId="77777777" w:rsidR="002663F4" w:rsidRPr="009B0A0D" w:rsidRDefault="002663F4" w:rsidP="001252AE">
      <w:pPr>
        <w:pStyle w:val="BodyTextIndent"/>
        <w:numPr>
          <w:ilvl w:val="0"/>
          <w:numId w:val="17"/>
        </w:numPr>
        <w:tabs>
          <w:tab w:val="clear" w:pos="360"/>
        </w:tabs>
        <w:spacing w:after="0"/>
        <w:ind w:left="1080"/>
        <w:jc w:val="both"/>
      </w:pPr>
      <w:r>
        <w:t>t</w:t>
      </w:r>
      <w:r w:rsidRPr="009B0A0D">
        <w:t xml:space="preserve">o </w:t>
      </w:r>
      <w:r>
        <w:t>exclude any of the</w:t>
      </w:r>
      <w:r w:rsidRPr="009B0A0D">
        <w:t xml:space="preserve"> lic</w:t>
      </w:r>
      <w:r>
        <w:t>ensable activities</w:t>
      </w:r>
      <w:r w:rsidRPr="009B0A0D">
        <w:t xml:space="preserve"> from the scope of the </w:t>
      </w:r>
      <w:proofErr w:type="gramStart"/>
      <w:r w:rsidRPr="009B0A0D">
        <w:t>licence;</w:t>
      </w:r>
      <w:proofErr w:type="gramEnd"/>
    </w:p>
    <w:p w14:paraId="32E7FAB6" w14:textId="77777777" w:rsidR="002663F4" w:rsidRPr="009B0A0D" w:rsidRDefault="002663F4" w:rsidP="001252AE">
      <w:pPr>
        <w:pStyle w:val="BodyTextIndent"/>
        <w:numPr>
          <w:ilvl w:val="0"/>
          <w:numId w:val="17"/>
        </w:numPr>
        <w:tabs>
          <w:tab w:val="clear" w:pos="360"/>
        </w:tabs>
        <w:spacing w:after="0"/>
        <w:ind w:left="1080"/>
        <w:jc w:val="both"/>
      </w:pPr>
      <w:r>
        <w:t>t</w:t>
      </w:r>
      <w:r w:rsidRPr="009B0A0D">
        <w:t xml:space="preserve">o remove the designated premises </w:t>
      </w:r>
      <w:proofErr w:type="gramStart"/>
      <w:r w:rsidRPr="009B0A0D">
        <w:t>supervisor;</w:t>
      </w:r>
      <w:proofErr w:type="gramEnd"/>
      <w:r w:rsidRPr="009B0A0D">
        <w:t xml:space="preserve"> </w:t>
      </w:r>
    </w:p>
    <w:p w14:paraId="0889F7CE" w14:textId="77777777" w:rsidR="002663F4" w:rsidRPr="009B0A0D" w:rsidRDefault="002663F4" w:rsidP="001252AE">
      <w:pPr>
        <w:pStyle w:val="BodyTextIndent"/>
        <w:numPr>
          <w:ilvl w:val="0"/>
          <w:numId w:val="17"/>
        </w:numPr>
        <w:tabs>
          <w:tab w:val="clear" w:pos="360"/>
        </w:tabs>
        <w:spacing w:after="0"/>
        <w:ind w:left="1080"/>
        <w:jc w:val="both"/>
      </w:pPr>
      <w:r>
        <w:t>t</w:t>
      </w:r>
      <w:r w:rsidRPr="009B0A0D">
        <w:t xml:space="preserve">o suspend the licence for a period not exceeding 3 </w:t>
      </w:r>
      <w:proofErr w:type="gramStart"/>
      <w:r w:rsidRPr="009B0A0D">
        <w:t>months;</w:t>
      </w:r>
      <w:proofErr w:type="gramEnd"/>
    </w:p>
    <w:p w14:paraId="2FF44B97" w14:textId="77777777" w:rsidR="002663F4" w:rsidRDefault="002663F4" w:rsidP="001252AE">
      <w:pPr>
        <w:pStyle w:val="BodyTextIndent"/>
        <w:numPr>
          <w:ilvl w:val="0"/>
          <w:numId w:val="17"/>
        </w:numPr>
        <w:tabs>
          <w:tab w:val="clear" w:pos="360"/>
        </w:tabs>
        <w:spacing w:after="0"/>
        <w:ind w:left="1080"/>
        <w:jc w:val="both"/>
      </w:pPr>
      <w:r>
        <w:t>to revoke the licence</w:t>
      </w:r>
    </w:p>
    <w:p w14:paraId="4A04AAB5" w14:textId="77777777" w:rsidR="002663F4" w:rsidRDefault="002663F4" w:rsidP="001252AE">
      <w:pPr>
        <w:pStyle w:val="BodyTextIndent"/>
        <w:numPr>
          <w:ilvl w:val="0"/>
          <w:numId w:val="17"/>
        </w:numPr>
        <w:tabs>
          <w:tab w:val="clear" w:pos="360"/>
        </w:tabs>
        <w:spacing w:after="0"/>
        <w:ind w:left="1080"/>
        <w:jc w:val="both"/>
      </w:pPr>
      <w:r>
        <w:t>to allow the licence to remain in its existing state</w:t>
      </w:r>
    </w:p>
    <w:p w14:paraId="66F2ABD8" w14:textId="77777777" w:rsidR="002663F4" w:rsidRDefault="002663F4" w:rsidP="001252AE">
      <w:pPr>
        <w:pStyle w:val="BodyTextIndent"/>
        <w:spacing w:after="0"/>
        <w:ind w:left="0"/>
        <w:jc w:val="both"/>
      </w:pPr>
    </w:p>
    <w:p w14:paraId="1CFA0867" w14:textId="4803FF66" w:rsidR="002663F4" w:rsidRDefault="002663F4" w:rsidP="009A6909">
      <w:pPr>
        <w:pStyle w:val="BodyTextIndent"/>
        <w:numPr>
          <w:ilvl w:val="1"/>
          <w:numId w:val="27"/>
        </w:numPr>
        <w:spacing w:after="0"/>
        <w:ind w:left="567" w:hanging="567"/>
        <w:jc w:val="both"/>
      </w:pPr>
      <w:r>
        <w:t xml:space="preserve"> Under the Act, if the Panel takes a step under (a) or (b above), it may specify that the modification or exclusion is to have effect for a period up to three months if it considers this to be appropriate.  </w:t>
      </w:r>
    </w:p>
    <w:p w14:paraId="0D14AB47" w14:textId="3F211037" w:rsidR="002663F4" w:rsidRDefault="002663F4" w:rsidP="009A6909">
      <w:pPr>
        <w:pStyle w:val="BodyTextIndent"/>
        <w:spacing w:after="0"/>
        <w:ind w:left="0"/>
        <w:jc w:val="both"/>
      </w:pPr>
    </w:p>
    <w:p w14:paraId="2E37AFE5" w14:textId="77777777" w:rsidR="00A345D2" w:rsidRPr="00E761C3" w:rsidRDefault="00A345D2" w:rsidP="009A6909">
      <w:pPr>
        <w:pStyle w:val="BodyTextIndent"/>
        <w:spacing w:after="0"/>
        <w:ind w:left="360"/>
        <w:jc w:val="both"/>
        <w:rPr>
          <w:rFonts w:cs="Arial"/>
          <w:color w:val="000000"/>
        </w:rPr>
      </w:pPr>
      <w:r w:rsidRPr="00D61CF2">
        <w:rPr>
          <w:color w:val="000000"/>
          <w:u w:val="single"/>
        </w:rPr>
        <w:t xml:space="preserve">Licensing policy </w:t>
      </w:r>
    </w:p>
    <w:p w14:paraId="2963B258" w14:textId="77777777" w:rsidR="00A345D2" w:rsidRDefault="00A345D2" w:rsidP="009A6909">
      <w:pPr>
        <w:pStyle w:val="ListParagraph"/>
        <w:jc w:val="both"/>
        <w:rPr>
          <w:color w:val="000000"/>
          <w:u w:val="single"/>
        </w:rPr>
      </w:pPr>
    </w:p>
    <w:p w14:paraId="70BD9EC0" w14:textId="49154FC6" w:rsidR="00A345D2" w:rsidRPr="00E53F4D" w:rsidRDefault="00A345D2" w:rsidP="009A6909">
      <w:pPr>
        <w:pStyle w:val="BodyTextIndent"/>
        <w:numPr>
          <w:ilvl w:val="1"/>
          <w:numId w:val="27"/>
        </w:numPr>
        <w:spacing w:after="0"/>
        <w:ind w:left="567" w:hanging="567"/>
        <w:jc w:val="both"/>
      </w:pPr>
      <w:r>
        <w:t xml:space="preserve">In considering the Application for Review as set out in Appendix 1, the Panel will </w:t>
      </w:r>
      <w:r w:rsidR="002C2E7A">
        <w:t>consider</w:t>
      </w:r>
      <w:r>
        <w:t xml:space="preserve"> </w:t>
      </w:r>
      <w:r w:rsidR="003339C0">
        <w:t xml:space="preserve">the </w:t>
      </w:r>
      <w:r w:rsidR="007C1325">
        <w:t xml:space="preserve">relevant section for reviews in </w:t>
      </w:r>
      <w:r>
        <w:t xml:space="preserve">the statement of licensing policy attached to this report at Appendix </w:t>
      </w:r>
      <w:r w:rsidR="007C1325">
        <w:t>4</w:t>
      </w:r>
      <w:r>
        <w:t>. The Panel has discretion to depart from the guidelines, which are designed with consistency and transparency of decision-making in mind.</w:t>
      </w:r>
    </w:p>
    <w:p w14:paraId="7338DEDD" w14:textId="77777777" w:rsidR="007C1325" w:rsidRPr="001B484F" w:rsidRDefault="007C1325" w:rsidP="009A6909">
      <w:pPr>
        <w:pStyle w:val="BodyTextIndent"/>
        <w:spacing w:after="0"/>
        <w:jc w:val="both"/>
        <w:rPr>
          <w:rFonts w:cs="Arial"/>
          <w:color w:val="000000"/>
        </w:rPr>
      </w:pPr>
    </w:p>
    <w:p w14:paraId="35802236" w14:textId="77777777" w:rsidR="00A345D2" w:rsidRPr="001B484F" w:rsidRDefault="00A345D2" w:rsidP="009A6909">
      <w:pPr>
        <w:pStyle w:val="BodyTextIndent"/>
        <w:spacing w:after="0"/>
        <w:ind w:left="0" w:firstLine="360"/>
        <w:jc w:val="both"/>
        <w:rPr>
          <w:rFonts w:cs="Arial"/>
          <w:color w:val="000000"/>
          <w:u w:val="single"/>
        </w:rPr>
      </w:pPr>
      <w:r w:rsidRPr="001B484F">
        <w:rPr>
          <w:rFonts w:cs="Arial"/>
          <w:color w:val="000000"/>
          <w:u w:val="single"/>
        </w:rPr>
        <w:t>Statutory guidance</w:t>
      </w:r>
    </w:p>
    <w:p w14:paraId="0FAD5234" w14:textId="77777777" w:rsidR="00A345D2" w:rsidRPr="001B484F" w:rsidRDefault="00A345D2" w:rsidP="009A6909">
      <w:pPr>
        <w:pStyle w:val="BodyTextIndent"/>
        <w:ind w:left="0"/>
        <w:jc w:val="both"/>
        <w:rPr>
          <w:rFonts w:cs="Arial"/>
          <w:color w:val="000000"/>
        </w:rPr>
      </w:pPr>
    </w:p>
    <w:p w14:paraId="07126F53" w14:textId="74BDF1AE" w:rsidR="002C2E7A" w:rsidRPr="00E53F4D" w:rsidRDefault="00A345D2" w:rsidP="009A6909">
      <w:pPr>
        <w:pStyle w:val="BodyTextIndent"/>
        <w:numPr>
          <w:ilvl w:val="1"/>
          <w:numId w:val="27"/>
        </w:numPr>
        <w:spacing w:after="0"/>
        <w:ind w:left="567" w:hanging="567"/>
        <w:jc w:val="both"/>
      </w:pPr>
      <w:r w:rsidRPr="00E53F4D">
        <w:t>Paragraph 10.27 of the Statutory Guidance (</w:t>
      </w:r>
      <w:r w:rsidR="005A7EB4" w:rsidRPr="00E53F4D">
        <w:t>December 2022</w:t>
      </w:r>
      <w:r w:rsidRPr="00E53F4D">
        <w:t>)</w:t>
      </w:r>
      <w:r w:rsidR="004C298E" w:rsidRPr="00E53F4D">
        <w:t xml:space="preserve"> under section 182 of the Act</w:t>
      </w:r>
      <w:r w:rsidRPr="00E53F4D">
        <w:t xml:space="preserve"> states in part</w:t>
      </w:r>
      <w:r w:rsidR="00C72F1B" w:rsidRPr="00E53F4D">
        <w:t>:</w:t>
      </w:r>
    </w:p>
    <w:p w14:paraId="07374D8A" w14:textId="44A038F8" w:rsidR="00A345D2" w:rsidRPr="00A162B6" w:rsidRDefault="00A345D2" w:rsidP="009A6909">
      <w:pPr>
        <w:pStyle w:val="BodyTextIndent"/>
        <w:spacing w:after="0"/>
        <w:ind w:left="1440" w:right="512"/>
        <w:jc w:val="both"/>
        <w:rPr>
          <w:i/>
          <w:iCs/>
        </w:rPr>
      </w:pPr>
      <w:r w:rsidRPr="00A162B6">
        <w:rPr>
          <w:i/>
          <w:iCs/>
        </w:rPr>
        <w:t>“The main purpose of the ‘designated premises supervisor’ as defined in the 2003 Act is to ensure that there is always one specified individual among these personal licence holders who can be readily identified for the premises where a premises licence is in force. That person will normally have been given day to day responsibility for running the premises by the premises licence holder</w:t>
      </w:r>
      <w:r w:rsidR="004C298E" w:rsidRPr="00A162B6">
        <w:rPr>
          <w:i/>
          <w:iCs/>
        </w:rPr>
        <w:t>…”</w:t>
      </w:r>
      <w:r w:rsidRPr="00A162B6">
        <w:rPr>
          <w:i/>
          <w:iCs/>
        </w:rPr>
        <w:t xml:space="preserve">. </w:t>
      </w:r>
    </w:p>
    <w:p w14:paraId="6FA666E5" w14:textId="77777777" w:rsidR="00A345D2" w:rsidRPr="00E53F4D" w:rsidRDefault="00A345D2" w:rsidP="009A6909">
      <w:pPr>
        <w:pStyle w:val="BodyTextIndent"/>
        <w:spacing w:after="0"/>
        <w:ind w:left="567"/>
        <w:jc w:val="both"/>
      </w:pPr>
    </w:p>
    <w:p w14:paraId="5DC64F22" w14:textId="0386E529" w:rsidR="00A345D2" w:rsidRDefault="004C298E" w:rsidP="009A6909">
      <w:pPr>
        <w:pStyle w:val="BodyTextIndent"/>
        <w:numPr>
          <w:ilvl w:val="1"/>
          <w:numId w:val="27"/>
        </w:numPr>
        <w:spacing w:after="0"/>
        <w:ind w:left="567" w:hanging="567"/>
        <w:jc w:val="both"/>
      </w:pPr>
      <w:r w:rsidRPr="00E53F4D">
        <w:t xml:space="preserve">The whole of </w:t>
      </w:r>
      <w:r w:rsidR="00A345D2" w:rsidRPr="00E53F4D">
        <w:t>Section 11 of the Statutory Guidance (</w:t>
      </w:r>
      <w:r w:rsidR="005A7EB4" w:rsidRPr="00E53F4D">
        <w:t>December 2022</w:t>
      </w:r>
      <w:r w:rsidR="00A345D2" w:rsidRPr="00E53F4D">
        <w:t xml:space="preserve">) </w:t>
      </w:r>
      <w:r w:rsidRPr="00E53F4D">
        <w:t xml:space="preserve">which covers </w:t>
      </w:r>
      <w:r w:rsidR="00A345D2" w:rsidRPr="00E53F4D">
        <w:t xml:space="preserve">reviews is attached to this report at Appendix </w:t>
      </w:r>
      <w:r w:rsidR="007C1325" w:rsidRPr="00E53F4D">
        <w:t>5</w:t>
      </w:r>
      <w:r w:rsidR="00A345D2" w:rsidRPr="00E53F4D">
        <w:t>.</w:t>
      </w:r>
    </w:p>
    <w:p w14:paraId="268E8CD9" w14:textId="77777777" w:rsidR="000D531F" w:rsidRDefault="000D531F" w:rsidP="009A6909">
      <w:pPr>
        <w:pStyle w:val="BodyTextIndent"/>
        <w:spacing w:after="0"/>
        <w:ind w:left="567" w:hanging="567"/>
        <w:jc w:val="both"/>
      </w:pPr>
    </w:p>
    <w:p w14:paraId="45BE265E" w14:textId="52F9F610" w:rsidR="000D531F" w:rsidRDefault="000D531F" w:rsidP="009A6909">
      <w:pPr>
        <w:pStyle w:val="BodyTextIndent"/>
        <w:numPr>
          <w:ilvl w:val="1"/>
          <w:numId w:val="27"/>
        </w:numPr>
        <w:spacing w:after="0"/>
        <w:ind w:left="567" w:hanging="567"/>
        <w:jc w:val="both"/>
      </w:pPr>
      <w:r>
        <w:t>In addition to determining the application in accordance with the legislation, Members must have regard to the –</w:t>
      </w:r>
    </w:p>
    <w:p w14:paraId="2AD2AD35" w14:textId="77777777" w:rsidR="000D531F" w:rsidRDefault="000D531F" w:rsidP="009A6909">
      <w:pPr>
        <w:pStyle w:val="BodyTextIndent"/>
        <w:spacing w:after="0"/>
        <w:ind w:left="567" w:hanging="567"/>
        <w:jc w:val="both"/>
      </w:pPr>
    </w:p>
    <w:p w14:paraId="6F4B818C" w14:textId="77777777" w:rsidR="000D531F" w:rsidRDefault="000D531F" w:rsidP="001252AE">
      <w:pPr>
        <w:pStyle w:val="BodyTextIndent"/>
        <w:numPr>
          <w:ilvl w:val="0"/>
          <w:numId w:val="17"/>
        </w:numPr>
        <w:tabs>
          <w:tab w:val="clear" w:pos="360"/>
        </w:tabs>
        <w:spacing w:after="0"/>
        <w:ind w:left="1080"/>
        <w:jc w:val="both"/>
      </w:pPr>
      <w:r w:rsidRPr="00E53F4D">
        <w:t>Common law rules of natural justice (</w:t>
      </w:r>
      <w:proofErr w:type="gramStart"/>
      <w:r w:rsidRPr="00E53F4D">
        <w:t>i.e.</w:t>
      </w:r>
      <w:proofErr w:type="gramEnd"/>
      <w:r w:rsidRPr="00E53F4D">
        <w:t xml:space="preserve"> ensuring a fair and unbiased hearing etc.);</w:t>
      </w:r>
    </w:p>
    <w:p w14:paraId="3EB5DA03" w14:textId="77777777" w:rsidR="000D531F" w:rsidRDefault="000D531F" w:rsidP="001252AE">
      <w:pPr>
        <w:pStyle w:val="BodyTextIndent"/>
        <w:numPr>
          <w:ilvl w:val="0"/>
          <w:numId w:val="17"/>
        </w:numPr>
        <w:tabs>
          <w:tab w:val="clear" w:pos="360"/>
        </w:tabs>
        <w:spacing w:after="0"/>
        <w:ind w:left="1080"/>
        <w:jc w:val="both"/>
      </w:pPr>
      <w:r>
        <w:t xml:space="preserve">Provisions of the Human Rights Act </w:t>
      </w:r>
      <w:proofErr w:type="gramStart"/>
      <w:r>
        <w:t>1998;</w:t>
      </w:r>
      <w:proofErr w:type="gramEnd"/>
    </w:p>
    <w:p w14:paraId="61796C32" w14:textId="77777777" w:rsidR="000D531F" w:rsidRDefault="000D531F" w:rsidP="001252AE">
      <w:pPr>
        <w:pStyle w:val="BodyTextIndent"/>
        <w:numPr>
          <w:ilvl w:val="0"/>
          <w:numId w:val="17"/>
        </w:numPr>
        <w:tabs>
          <w:tab w:val="clear" w:pos="360"/>
        </w:tabs>
        <w:spacing w:after="0"/>
        <w:ind w:left="1080"/>
        <w:jc w:val="both"/>
      </w:pPr>
      <w:r>
        <w:t>Considerations in section 17 of the Crime and Disorder Act 1998.</w:t>
      </w:r>
    </w:p>
    <w:p w14:paraId="0A38A278" w14:textId="77777777" w:rsidR="000D531F" w:rsidRDefault="000D531F" w:rsidP="009A6909">
      <w:pPr>
        <w:pStyle w:val="ListNumber"/>
        <w:numPr>
          <w:ilvl w:val="0"/>
          <w:numId w:val="0"/>
        </w:numPr>
        <w:spacing w:after="0"/>
        <w:ind w:left="567" w:hanging="567"/>
        <w:jc w:val="both"/>
      </w:pPr>
    </w:p>
    <w:p w14:paraId="39BD8313" w14:textId="77777777" w:rsidR="000D531F" w:rsidRDefault="000D531F" w:rsidP="009A6909">
      <w:pPr>
        <w:pStyle w:val="ListNumber"/>
        <w:numPr>
          <w:ilvl w:val="1"/>
          <w:numId w:val="27"/>
        </w:numPr>
        <w:spacing w:after="0"/>
        <w:ind w:left="567" w:hanging="567"/>
        <w:jc w:val="both"/>
      </w:pPr>
      <w:r>
        <w:t xml:space="preserve">The Panel must also act appropriately </w:t>
      </w:r>
      <w:proofErr w:type="gramStart"/>
      <w:r>
        <w:t>with regard to</w:t>
      </w:r>
      <w:proofErr w:type="gramEnd"/>
      <w:r>
        <w:t xml:space="preserve">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14:paraId="365A538F" w14:textId="77777777" w:rsidR="000D531F" w:rsidRDefault="000D531F" w:rsidP="009A6909">
      <w:pPr>
        <w:pStyle w:val="ListNumber"/>
        <w:numPr>
          <w:ilvl w:val="0"/>
          <w:numId w:val="0"/>
        </w:numPr>
        <w:spacing w:after="0"/>
        <w:ind w:left="567" w:hanging="567"/>
        <w:jc w:val="both"/>
      </w:pPr>
    </w:p>
    <w:p w14:paraId="42445EC1" w14:textId="60207450" w:rsidR="000D531F" w:rsidRDefault="000D531F" w:rsidP="009A6909">
      <w:pPr>
        <w:pStyle w:val="ListNumber"/>
        <w:numPr>
          <w:ilvl w:val="1"/>
          <w:numId w:val="27"/>
        </w:numPr>
        <w:spacing w:after="0"/>
        <w:ind w:left="567" w:hanging="567"/>
        <w:jc w:val="both"/>
      </w:pPr>
      <w:r>
        <w:t>The Panel, when exercising its powers, must consider section 17 of the Crime and Disorder Act 1998 which states:</w:t>
      </w:r>
    </w:p>
    <w:p w14:paraId="53F3E8BB" w14:textId="77777777" w:rsidR="000D531F" w:rsidRDefault="000D531F" w:rsidP="009A6909">
      <w:pPr>
        <w:pStyle w:val="ListNumber"/>
        <w:numPr>
          <w:ilvl w:val="0"/>
          <w:numId w:val="0"/>
        </w:numPr>
        <w:spacing w:after="0"/>
        <w:ind w:left="567"/>
        <w:jc w:val="both"/>
      </w:pPr>
    </w:p>
    <w:p w14:paraId="4F3426DF" w14:textId="77777777" w:rsidR="000D531F" w:rsidRDefault="000D531F" w:rsidP="009A6909">
      <w:pPr>
        <w:pStyle w:val="ListNumber"/>
        <w:numPr>
          <w:ilvl w:val="0"/>
          <w:numId w:val="0"/>
        </w:numPr>
        <w:spacing w:after="0"/>
        <w:ind w:left="720" w:right="371"/>
        <w:jc w:val="both"/>
      </w:pPr>
      <w:r>
        <w:t>‘</w:t>
      </w:r>
      <w:proofErr w:type="gramStart"/>
      <w:r w:rsidRPr="00CB658B">
        <w:rPr>
          <w:i/>
          <w:iCs/>
        </w:rPr>
        <w:t>without</w:t>
      </w:r>
      <w:proofErr w:type="gramEnd"/>
      <w:r w:rsidRPr="00CB658B">
        <w:rPr>
          <w:i/>
          <w:iCs/>
        </w:rPr>
        <w:t xml:space="preserve">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r>
        <w:t>’</w:t>
      </w:r>
    </w:p>
    <w:p w14:paraId="1EC42A28" w14:textId="77777777" w:rsidR="000D531F" w:rsidRDefault="000D531F" w:rsidP="009A6909">
      <w:pPr>
        <w:pStyle w:val="ListNumber"/>
        <w:numPr>
          <w:ilvl w:val="0"/>
          <w:numId w:val="0"/>
        </w:numPr>
        <w:spacing w:after="0"/>
        <w:ind w:left="567"/>
        <w:jc w:val="both"/>
      </w:pPr>
    </w:p>
    <w:p w14:paraId="6691FEA5" w14:textId="154D1CA1" w:rsidR="000D531F" w:rsidRDefault="000D531F" w:rsidP="009A6909">
      <w:pPr>
        <w:pStyle w:val="ListNumber"/>
        <w:numPr>
          <w:ilvl w:val="1"/>
          <w:numId w:val="27"/>
        </w:numPr>
        <w:spacing w:after="0"/>
        <w:ind w:left="567" w:hanging="567"/>
        <w:jc w:val="both"/>
      </w:pPr>
      <w:r>
        <w:t xml:space="preserve">Full copies of the Council’s </w:t>
      </w:r>
      <w:r w:rsidR="00C84CB8">
        <w:t>S</w:t>
      </w:r>
      <w:r>
        <w:t xml:space="preserve">tatement of </w:t>
      </w:r>
      <w:r w:rsidR="00C84CB8">
        <w:t>L</w:t>
      </w:r>
      <w:r>
        <w:t xml:space="preserve">icencing </w:t>
      </w:r>
      <w:r w:rsidR="00C84CB8">
        <w:t>P</w:t>
      </w:r>
      <w:r>
        <w:t xml:space="preserve">olicy, hearing procedure and statutory guidance to the Act will be available at the Panel Hearing or in advance if so required. </w:t>
      </w:r>
    </w:p>
    <w:p w14:paraId="34E093B0" w14:textId="77777777" w:rsidR="000D531F" w:rsidRPr="00E53F4D" w:rsidRDefault="000D531F" w:rsidP="009A6909">
      <w:pPr>
        <w:pStyle w:val="BodyTextIndent"/>
        <w:spacing w:after="0"/>
        <w:ind w:left="567"/>
        <w:jc w:val="both"/>
      </w:pPr>
    </w:p>
    <w:p w14:paraId="1BD6B394" w14:textId="77777777" w:rsidR="00A345D2" w:rsidRDefault="00A345D2" w:rsidP="009A6909">
      <w:pPr>
        <w:pStyle w:val="ListParagraph"/>
        <w:jc w:val="both"/>
        <w:rPr>
          <w:color w:val="000000"/>
          <w:u w:val="single"/>
        </w:rPr>
      </w:pPr>
    </w:p>
    <w:p w14:paraId="3EA6E67B" w14:textId="22378F4A" w:rsidR="00AA0E40" w:rsidRDefault="00AA0E40" w:rsidP="009A6909">
      <w:pPr>
        <w:ind w:left="720" w:hanging="720"/>
        <w:jc w:val="both"/>
        <w:rPr>
          <w:b/>
          <w:bCs/>
        </w:rPr>
      </w:pPr>
      <w:r>
        <w:rPr>
          <w:b/>
          <w:bCs/>
        </w:rPr>
        <w:t>3.</w:t>
      </w:r>
      <w:r w:rsidR="001252AE">
        <w:rPr>
          <w:b/>
          <w:bCs/>
        </w:rPr>
        <w:t xml:space="preserve">   </w:t>
      </w:r>
      <w:r>
        <w:rPr>
          <w:b/>
          <w:bCs/>
        </w:rPr>
        <w:t>Alternative Options considered</w:t>
      </w:r>
    </w:p>
    <w:p w14:paraId="0B31454A" w14:textId="369CA795" w:rsidR="00CB658B" w:rsidRDefault="00CB658B" w:rsidP="009A6909">
      <w:pPr>
        <w:pStyle w:val="BodyTextIndent"/>
        <w:spacing w:after="0"/>
        <w:ind w:left="0"/>
        <w:jc w:val="both"/>
      </w:pPr>
    </w:p>
    <w:p w14:paraId="3BFA2B46" w14:textId="5934C145" w:rsidR="004C298E" w:rsidRDefault="000358B6" w:rsidP="009A6909">
      <w:pPr>
        <w:pStyle w:val="BodyTextIndent"/>
        <w:numPr>
          <w:ilvl w:val="1"/>
          <w:numId w:val="35"/>
        </w:numPr>
        <w:spacing w:after="0"/>
        <w:ind w:left="567" w:hanging="567"/>
        <w:jc w:val="both"/>
      </w:pPr>
      <w:r>
        <w:t xml:space="preserve">Not applicable.  </w:t>
      </w:r>
    </w:p>
    <w:p w14:paraId="4153BE3A" w14:textId="77777777" w:rsidR="002663F4" w:rsidRDefault="002663F4" w:rsidP="009A6909">
      <w:pPr>
        <w:pStyle w:val="BodyTextIndent"/>
        <w:spacing w:after="0"/>
        <w:ind w:left="1746"/>
        <w:jc w:val="both"/>
      </w:pPr>
    </w:p>
    <w:p w14:paraId="38172871" w14:textId="4E8E8C9E" w:rsidR="0019105D" w:rsidRDefault="00F437FE" w:rsidP="009A6909">
      <w:pPr>
        <w:jc w:val="both"/>
        <w:rPr>
          <w:rFonts w:cs="Arial"/>
          <w:b/>
          <w:bCs/>
          <w:szCs w:val="24"/>
        </w:rPr>
      </w:pPr>
      <w:r>
        <w:rPr>
          <w:rFonts w:cs="Arial"/>
          <w:szCs w:val="24"/>
        </w:rPr>
        <w:t xml:space="preserve">. </w:t>
      </w:r>
      <w:r w:rsidRPr="00492770">
        <w:rPr>
          <w:rFonts w:cs="Arial"/>
          <w:b/>
          <w:bCs/>
          <w:szCs w:val="24"/>
        </w:rPr>
        <w:tab/>
      </w:r>
    </w:p>
    <w:p w14:paraId="45DEBA85" w14:textId="15E3D925" w:rsidR="0019105D" w:rsidRDefault="0019105D" w:rsidP="009A6909">
      <w:pPr>
        <w:jc w:val="both"/>
        <w:rPr>
          <w:rFonts w:cs="Arial"/>
          <w:b/>
          <w:bCs/>
          <w:szCs w:val="24"/>
        </w:rPr>
      </w:pPr>
      <w:r>
        <w:rPr>
          <w:rFonts w:cs="Arial"/>
          <w:b/>
          <w:bCs/>
          <w:szCs w:val="24"/>
        </w:rPr>
        <w:t>4. Legal Implications</w:t>
      </w:r>
    </w:p>
    <w:p w14:paraId="72EB5DE1" w14:textId="77777777" w:rsidR="0019105D" w:rsidRDefault="0019105D" w:rsidP="009A6909">
      <w:pPr>
        <w:pStyle w:val="BodyTextIndent"/>
        <w:spacing w:after="0"/>
        <w:ind w:left="0"/>
        <w:jc w:val="both"/>
      </w:pPr>
    </w:p>
    <w:p w14:paraId="07FCF251" w14:textId="5378886D" w:rsidR="0019105D" w:rsidRPr="00E53F4D" w:rsidRDefault="0019105D" w:rsidP="009A6909">
      <w:pPr>
        <w:pStyle w:val="BodyTextIndent"/>
        <w:numPr>
          <w:ilvl w:val="1"/>
          <w:numId w:val="30"/>
        </w:numPr>
        <w:spacing w:after="0"/>
        <w:ind w:left="567" w:hanging="567"/>
        <w:jc w:val="both"/>
      </w:pPr>
      <w:r w:rsidRPr="00E53F4D">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The hearing must be held in accordance with the</w:t>
      </w:r>
      <w:r w:rsidR="002C045F">
        <w:t xml:space="preserve"> Act and the</w:t>
      </w:r>
      <w:r w:rsidRPr="006E76A2">
        <w:t xml:space="preserve"> Licensing Act 2003 (Hearings) Regulations 2005. </w:t>
      </w:r>
    </w:p>
    <w:p w14:paraId="0DE8CB9F" w14:textId="77777777" w:rsidR="0019105D" w:rsidRDefault="0019105D" w:rsidP="009A6909">
      <w:pPr>
        <w:pStyle w:val="BodyTextIndent"/>
        <w:spacing w:after="0"/>
        <w:ind w:left="567"/>
        <w:jc w:val="both"/>
      </w:pPr>
    </w:p>
    <w:p w14:paraId="1E891384" w14:textId="2A9A9E4B" w:rsidR="0019105D" w:rsidRDefault="0019105D" w:rsidP="009A6909">
      <w:pPr>
        <w:pStyle w:val="BodyTextIndent"/>
        <w:numPr>
          <w:ilvl w:val="1"/>
          <w:numId w:val="30"/>
        </w:numPr>
        <w:spacing w:after="0"/>
        <w:ind w:left="567" w:hanging="567"/>
        <w:jc w:val="both"/>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w:t>
      </w:r>
      <w:r w:rsidR="000358B6">
        <w:t>S</w:t>
      </w:r>
      <w:r w:rsidRPr="006E76A2">
        <w:t xml:space="preserve">tatement of </w:t>
      </w:r>
      <w:r w:rsidR="000358B6">
        <w:t>L</w:t>
      </w:r>
      <w:r w:rsidRPr="006E76A2">
        <w:t xml:space="preserve">icensing </w:t>
      </w:r>
      <w:proofErr w:type="gramStart"/>
      <w:r w:rsidR="000358B6">
        <w:t>P</w:t>
      </w:r>
      <w:r w:rsidRPr="006E76A2">
        <w:t>olicy</w:t>
      </w:r>
      <w:proofErr w:type="gramEnd"/>
      <w:r w:rsidRPr="006E76A2">
        <w:t xml:space="preserve"> and the steps </w:t>
      </w:r>
      <w:r>
        <w:t xml:space="preserve">(if any) </w:t>
      </w:r>
      <w:r w:rsidRPr="006E76A2">
        <w:t xml:space="preserve">that are </w:t>
      </w:r>
      <w:r>
        <w:t>appropriate</w:t>
      </w:r>
      <w:r w:rsidRPr="006E76A2">
        <w:t xml:space="preserve"> to promote the four licensing objectives</w:t>
      </w:r>
    </w:p>
    <w:p w14:paraId="23EF4F52" w14:textId="77777777" w:rsidR="0019105D" w:rsidRDefault="0019105D" w:rsidP="009A6909">
      <w:pPr>
        <w:pStyle w:val="BodyTextIndent"/>
        <w:spacing w:after="0"/>
        <w:ind w:left="567"/>
        <w:jc w:val="both"/>
      </w:pPr>
    </w:p>
    <w:p w14:paraId="033B15E1" w14:textId="01CDCC1A" w:rsidR="0019105D" w:rsidRDefault="0019105D" w:rsidP="009A6909">
      <w:pPr>
        <w:pStyle w:val="BodyTextIndent"/>
        <w:numPr>
          <w:ilvl w:val="1"/>
          <w:numId w:val="30"/>
        </w:numPr>
        <w:spacing w:after="0"/>
        <w:ind w:left="567" w:hanging="567"/>
        <w:jc w:val="both"/>
      </w:pPr>
      <w:r w:rsidRPr="00E53F4D">
        <w:t xml:space="preserve">The Licensing Panel shall determine the application in accordance with S.52 of the Act. </w:t>
      </w:r>
    </w:p>
    <w:p w14:paraId="297C9404" w14:textId="77777777" w:rsidR="0019105D" w:rsidRDefault="0019105D" w:rsidP="009A6909">
      <w:pPr>
        <w:pStyle w:val="BodyTextIndent"/>
        <w:spacing w:after="0"/>
        <w:ind w:left="567"/>
        <w:jc w:val="both"/>
      </w:pPr>
    </w:p>
    <w:p w14:paraId="2B4716A0" w14:textId="1254431A" w:rsidR="0019105D" w:rsidRDefault="0019105D" w:rsidP="009A6909">
      <w:pPr>
        <w:pStyle w:val="BodyTextIndent"/>
        <w:numPr>
          <w:ilvl w:val="1"/>
          <w:numId w:val="30"/>
        </w:numPr>
        <w:spacing w:after="0"/>
        <w:ind w:left="567" w:hanging="567"/>
        <w:jc w:val="both"/>
      </w:pPr>
      <w:r>
        <w:t>The Panel should also note:</w:t>
      </w:r>
    </w:p>
    <w:p w14:paraId="009A3D8D" w14:textId="77777777" w:rsidR="009A6909" w:rsidRDefault="009A6909" w:rsidP="009A6909">
      <w:pPr>
        <w:pStyle w:val="ListParagraph"/>
      </w:pPr>
    </w:p>
    <w:p w14:paraId="613BC24D" w14:textId="77777777" w:rsidR="0019105D" w:rsidRPr="006E76A2" w:rsidRDefault="0019105D" w:rsidP="009A6909">
      <w:pPr>
        <w:pStyle w:val="BodyTextIndent"/>
        <w:numPr>
          <w:ilvl w:val="0"/>
          <w:numId w:val="38"/>
        </w:numPr>
        <w:tabs>
          <w:tab w:val="clear" w:pos="1800"/>
          <w:tab w:val="num" w:pos="1080"/>
        </w:tabs>
        <w:spacing w:after="0"/>
        <w:ind w:left="1080"/>
        <w:jc w:val="both"/>
      </w:pPr>
      <w:r>
        <w:t>c</w:t>
      </w:r>
      <w:r w:rsidRPr="006E76A2">
        <w:t xml:space="preserve">lear reasons </w:t>
      </w:r>
      <w:r>
        <w:t>must be given for the decision.</w:t>
      </w:r>
    </w:p>
    <w:p w14:paraId="4C99FD6E" w14:textId="77777777" w:rsidR="0019105D" w:rsidRDefault="0019105D" w:rsidP="009A6909">
      <w:pPr>
        <w:pStyle w:val="BodyTextIndent"/>
        <w:numPr>
          <w:ilvl w:val="0"/>
          <w:numId w:val="38"/>
        </w:numPr>
        <w:tabs>
          <w:tab w:val="clear" w:pos="1800"/>
          <w:tab w:val="num" w:pos="1080"/>
        </w:tabs>
        <w:spacing w:after="0"/>
        <w:ind w:left="1080"/>
        <w:jc w:val="both"/>
      </w:pPr>
      <w:r>
        <w:t>a</w:t>
      </w:r>
      <w:r w:rsidRPr="006E76A2">
        <w:t xml:space="preserve">ny additional or modified conditions should be </w:t>
      </w:r>
      <w:r>
        <w:t>practicable</w:t>
      </w:r>
      <w:r w:rsidRPr="006E76A2">
        <w:t xml:space="preserve"> and enforceable</w:t>
      </w:r>
      <w:r>
        <w:t>.</w:t>
      </w:r>
    </w:p>
    <w:p w14:paraId="4A9C4FA9" w14:textId="77777777" w:rsidR="0019105D" w:rsidRPr="006E76A2" w:rsidRDefault="0019105D" w:rsidP="009A6909">
      <w:pPr>
        <w:pStyle w:val="BodyTextIndent"/>
        <w:spacing w:after="0"/>
        <w:ind w:left="0"/>
        <w:jc w:val="both"/>
      </w:pPr>
    </w:p>
    <w:p w14:paraId="69A8D30B" w14:textId="4DE5CAEE" w:rsidR="0019105D" w:rsidRDefault="0019105D" w:rsidP="009A6909">
      <w:pPr>
        <w:pStyle w:val="BodyTextIndent"/>
        <w:numPr>
          <w:ilvl w:val="1"/>
          <w:numId w:val="30"/>
        </w:numPr>
        <w:spacing w:after="0"/>
        <w:ind w:left="567" w:hanging="567"/>
        <w:jc w:val="both"/>
      </w:pPr>
      <w:r>
        <w:t>The applicant for the review, the premises licence holder</w:t>
      </w:r>
      <w:r w:rsidRPr="006E76A2">
        <w:t xml:space="preserve"> and any person who made relevant representations would have the right of appeal to a magistrates’ court on </w:t>
      </w:r>
      <w:r>
        <w:t xml:space="preserve">one of the grounds provided in schedule 5 to the </w:t>
      </w:r>
      <w:r w:rsidRPr="006E76A2">
        <w:t>Act</w:t>
      </w:r>
      <w:r>
        <w:t>.</w:t>
      </w:r>
    </w:p>
    <w:p w14:paraId="6F7653DF" w14:textId="77777777" w:rsidR="0019105D" w:rsidRPr="00E53F4D" w:rsidRDefault="0019105D" w:rsidP="009A6909">
      <w:pPr>
        <w:pStyle w:val="BodyTextIndent"/>
        <w:spacing w:after="0"/>
        <w:jc w:val="both"/>
      </w:pPr>
    </w:p>
    <w:p w14:paraId="589B8340" w14:textId="21A78119" w:rsidR="00F437FE" w:rsidRPr="00E02598" w:rsidRDefault="00CB658B" w:rsidP="009A6909">
      <w:pPr>
        <w:jc w:val="both"/>
        <w:rPr>
          <w:rFonts w:cs="Arial"/>
          <w:szCs w:val="24"/>
          <w:u w:val="single"/>
        </w:rPr>
      </w:pPr>
      <w:r>
        <w:rPr>
          <w:rFonts w:cs="Arial"/>
          <w:b/>
          <w:bCs/>
          <w:szCs w:val="24"/>
        </w:rPr>
        <w:lastRenderedPageBreak/>
        <w:t xml:space="preserve">5. </w:t>
      </w:r>
      <w:r w:rsidR="00F437FE" w:rsidRPr="00492770">
        <w:rPr>
          <w:rFonts w:cs="Arial"/>
          <w:b/>
          <w:bCs/>
          <w:szCs w:val="24"/>
        </w:rPr>
        <w:t>Financial Implications</w:t>
      </w:r>
    </w:p>
    <w:p w14:paraId="61070457" w14:textId="77777777" w:rsidR="00F437FE" w:rsidRDefault="00F437FE" w:rsidP="009A6909">
      <w:pPr>
        <w:jc w:val="both"/>
        <w:rPr>
          <w:rFonts w:cs="Arial"/>
          <w:szCs w:val="24"/>
        </w:rPr>
      </w:pPr>
    </w:p>
    <w:p w14:paraId="653E727E" w14:textId="3710CF64" w:rsidR="00F437FE" w:rsidRPr="00E02598" w:rsidRDefault="00CB658B" w:rsidP="009A6909">
      <w:pPr>
        <w:ind w:left="567" w:hanging="567"/>
        <w:jc w:val="both"/>
        <w:rPr>
          <w:rFonts w:cs="Arial"/>
          <w:szCs w:val="24"/>
        </w:rPr>
      </w:pPr>
      <w:r>
        <w:rPr>
          <w:rFonts w:cs="Arial"/>
          <w:szCs w:val="24"/>
        </w:rPr>
        <w:t>5</w:t>
      </w:r>
      <w:r w:rsidR="00F437FE">
        <w:rPr>
          <w:rFonts w:cs="Arial"/>
          <w:szCs w:val="24"/>
        </w:rPr>
        <w:t>.1</w:t>
      </w:r>
      <w:r w:rsidR="00F437FE">
        <w:rPr>
          <w:rFonts w:cs="Arial"/>
          <w:szCs w:val="24"/>
        </w:rPr>
        <w:tab/>
      </w:r>
      <w:r w:rsidR="00F437FE" w:rsidRPr="00E02598">
        <w:rPr>
          <w:rFonts w:cs="Arial"/>
          <w:szCs w:val="24"/>
        </w:rPr>
        <w:t>There are no financial implications, other than a small fee income if the new licence is granted.</w:t>
      </w:r>
    </w:p>
    <w:p w14:paraId="10DC40FA" w14:textId="63129D6E" w:rsidR="006A233E" w:rsidRDefault="318CA225" w:rsidP="009A6909">
      <w:pPr>
        <w:pStyle w:val="Heading3"/>
      </w:pPr>
      <w:r w:rsidRPr="58DCEF64">
        <w:rPr>
          <w:rFonts w:eastAsia="Arial"/>
          <w:sz w:val="28"/>
        </w:rPr>
        <w:t>Risk Management Implications</w:t>
      </w:r>
    </w:p>
    <w:p w14:paraId="1D2AF659" w14:textId="593194FF" w:rsidR="006A233E" w:rsidRDefault="318CA225" w:rsidP="009A6909">
      <w:pPr>
        <w:jc w:val="both"/>
      </w:pPr>
      <w:r w:rsidRPr="58DCEF64">
        <w:rPr>
          <w:rFonts w:eastAsia="Arial" w:cs="Arial"/>
          <w:color w:val="0000FF"/>
          <w:szCs w:val="24"/>
        </w:rPr>
        <w:t xml:space="preserve"> </w:t>
      </w:r>
      <w:r w:rsidRPr="58DCEF64">
        <w:rPr>
          <w:rFonts w:eastAsia="Arial" w:cs="Arial"/>
          <w:szCs w:val="24"/>
          <w:lang w:val="en-US"/>
        </w:rPr>
        <w:t xml:space="preserve"> Risks included on corporate or directorate risk </w:t>
      </w:r>
      <w:proofErr w:type="gramStart"/>
      <w:r w:rsidRPr="58DCEF64">
        <w:rPr>
          <w:rFonts w:eastAsia="Arial" w:cs="Arial"/>
          <w:szCs w:val="24"/>
          <w:lang w:val="en-US"/>
        </w:rPr>
        <w:t>register?</w:t>
      </w:r>
      <w:proofErr w:type="gramEnd"/>
      <w:r w:rsidRPr="58DCEF64">
        <w:rPr>
          <w:rFonts w:eastAsia="Arial" w:cs="Arial"/>
          <w:szCs w:val="24"/>
          <w:lang w:val="en-US"/>
        </w:rPr>
        <w:t xml:space="preserve"> </w:t>
      </w:r>
      <w:r w:rsidRPr="58DCEF64">
        <w:rPr>
          <w:rFonts w:eastAsia="Arial" w:cs="Arial"/>
          <w:b/>
          <w:bCs/>
          <w:szCs w:val="24"/>
          <w:lang w:val="en-US"/>
        </w:rPr>
        <w:t>No</w:t>
      </w:r>
      <w:r w:rsidRPr="58DCEF64">
        <w:rPr>
          <w:rFonts w:eastAsia="Arial" w:cs="Arial"/>
          <w:szCs w:val="24"/>
          <w:lang w:val="en-US"/>
        </w:rPr>
        <w:t xml:space="preserve"> </w:t>
      </w:r>
    </w:p>
    <w:p w14:paraId="052C45AE" w14:textId="3497F423" w:rsidR="006A233E" w:rsidRDefault="318CA225" w:rsidP="009A6909">
      <w:pPr>
        <w:jc w:val="both"/>
      </w:pPr>
      <w:r w:rsidRPr="58DCEF64">
        <w:rPr>
          <w:rFonts w:eastAsia="Arial" w:cs="Arial"/>
          <w:szCs w:val="24"/>
          <w:lang w:val="en-US"/>
        </w:rPr>
        <w:t xml:space="preserve">  </w:t>
      </w:r>
    </w:p>
    <w:p w14:paraId="4F509C36" w14:textId="59CBA6E7" w:rsidR="006A233E" w:rsidRDefault="318CA225" w:rsidP="009A6909">
      <w:pPr>
        <w:jc w:val="both"/>
      </w:pPr>
      <w:r w:rsidRPr="58DCEF64">
        <w:rPr>
          <w:rFonts w:eastAsia="Arial" w:cs="Arial"/>
          <w:szCs w:val="24"/>
          <w:lang w:val="en-US"/>
        </w:rPr>
        <w:t xml:space="preserve">Separate risk register in place? </w:t>
      </w:r>
      <w:r w:rsidRPr="58DCEF64">
        <w:rPr>
          <w:rFonts w:eastAsia="Arial" w:cs="Arial"/>
          <w:b/>
          <w:bCs/>
          <w:szCs w:val="24"/>
          <w:lang w:val="en-US"/>
        </w:rPr>
        <w:t>No</w:t>
      </w:r>
    </w:p>
    <w:p w14:paraId="126A31D1" w14:textId="150020BE" w:rsidR="006A233E" w:rsidRDefault="318CA225" w:rsidP="009A6909">
      <w:pPr>
        <w:ind w:left="567" w:hanging="567"/>
        <w:jc w:val="both"/>
      </w:pPr>
      <w:r w:rsidRPr="58DCEF64">
        <w:rPr>
          <w:rFonts w:eastAsia="Arial" w:cs="Arial"/>
          <w:szCs w:val="24"/>
        </w:rPr>
        <w:t xml:space="preserve"> </w:t>
      </w:r>
    </w:p>
    <w:p w14:paraId="258D0ABC" w14:textId="0AFC6424" w:rsidR="006A233E" w:rsidRDefault="318CA225" w:rsidP="009A6909">
      <w:pPr>
        <w:jc w:val="both"/>
      </w:pPr>
      <w:r w:rsidRPr="58DCEF64">
        <w:rPr>
          <w:rFonts w:eastAsia="Arial" w:cs="Arial"/>
          <w:szCs w:val="24"/>
        </w:rPr>
        <w:t xml:space="preserve">The relevant risks contained in the register are attached/summarised below. </w:t>
      </w:r>
      <w:r w:rsidRPr="58DCEF64">
        <w:rPr>
          <w:rFonts w:eastAsia="Arial" w:cs="Arial"/>
          <w:b/>
          <w:bCs/>
          <w:szCs w:val="24"/>
          <w:lang w:val="en-US"/>
        </w:rPr>
        <w:t>No</w:t>
      </w:r>
    </w:p>
    <w:p w14:paraId="0BEDC1CF" w14:textId="3EC54DB7" w:rsidR="006A233E" w:rsidRDefault="318CA225" w:rsidP="009A6909">
      <w:pPr>
        <w:jc w:val="both"/>
      </w:pPr>
      <w:r w:rsidRPr="58DCEF64">
        <w:rPr>
          <w:rFonts w:eastAsia="Arial" w:cs="Arial"/>
          <w:szCs w:val="24"/>
        </w:rPr>
        <w:t xml:space="preserve"> </w:t>
      </w:r>
    </w:p>
    <w:p w14:paraId="53B0D744" w14:textId="094D88F1" w:rsidR="006A233E" w:rsidRDefault="318CA225" w:rsidP="009A6909">
      <w:pPr>
        <w:jc w:val="both"/>
      </w:pPr>
      <w:r w:rsidRPr="58DCEF64">
        <w:rPr>
          <w:rFonts w:eastAsia="Arial" w:cs="Arial"/>
          <w:szCs w:val="24"/>
        </w:rPr>
        <w:t xml:space="preserve">The following key risks should be </w:t>
      </w:r>
      <w:proofErr w:type="gramStart"/>
      <w:r w:rsidRPr="58DCEF64">
        <w:rPr>
          <w:rFonts w:eastAsia="Arial" w:cs="Arial"/>
          <w:szCs w:val="24"/>
        </w:rPr>
        <w:t>taken into account</w:t>
      </w:r>
      <w:proofErr w:type="gramEnd"/>
      <w:r w:rsidRPr="58DCEF64">
        <w:rPr>
          <w:rFonts w:eastAsia="Arial" w:cs="Arial"/>
          <w:szCs w:val="24"/>
        </w:rPr>
        <w:t xml:space="preserve"> when agreeing the recommendations in this report:</w:t>
      </w:r>
    </w:p>
    <w:p w14:paraId="426B3435" w14:textId="35D69205" w:rsidR="006A233E" w:rsidRDefault="318CA225" w:rsidP="009A6909">
      <w:pPr>
        <w:ind w:left="567" w:hanging="567"/>
        <w:jc w:val="both"/>
      </w:pPr>
      <w:r w:rsidRPr="58DCEF64">
        <w:rPr>
          <w:rFonts w:eastAsia="Arial" w:cs="Arial"/>
          <w:szCs w:val="24"/>
          <w:lang w:val="en-US"/>
        </w:rPr>
        <w:t xml:space="preserve"> </w:t>
      </w:r>
    </w:p>
    <w:tbl>
      <w:tblPr>
        <w:tblW w:w="8294" w:type="dxa"/>
        <w:tblLayout w:type="fixed"/>
        <w:tblLook w:val="04A0" w:firstRow="1" w:lastRow="0" w:firstColumn="1" w:lastColumn="0" w:noHBand="0" w:noVBand="1"/>
      </w:tblPr>
      <w:tblGrid>
        <w:gridCol w:w="3139"/>
        <w:gridCol w:w="3168"/>
        <w:gridCol w:w="1987"/>
      </w:tblGrid>
      <w:tr w:rsidR="58DCEF64" w14:paraId="3C5289F5" w14:textId="77777777" w:rsidTr="009A6909">
        <w:tc>
          <w:tcPr>
            <w:tcW w:w="31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E6C08E" w14:textId="19034175" w:rsidR="58DCEF64" w:rsidRDefault="58DCEF64" w:rsidP="009A6909">
            <w:pPr>
              <w:spacing w:line="245" w:lineRule="auto"/>
              <w:jc w:val="both"/>
            </w:pPr>
            <w:r w:rsidRPr="58DCEF64">
              <w:rPr>
                <w:rFonts w:eastAsia="Arial" w:cs="Arial"/>
                <w:b/>
                <w:bCs/>
                <w:szCs w:val="24"/>
                <w:lang w:val="en-US"/>
              </w:rPr>
              <w:t>Risk Description</w:t>
            </w:r>
          </w:p>
        </w:tc>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4270F5" w14:textId="202E1B49" w:rsidR="58DCEF64" w:rsidRDefault="58DCEF64" w:rsidP="009A6909">
            <w:pPr>
              <w:spacing w:line="245" w:lineRule="auto"/>
              <w:jc w:val="both"/>
            </w:pPr>
            <w:r w:rsidRPr="58DCEF64">
              <w:rPr>
                <w:rFonts w:eastAsia="Arial" w:cs="Arial"/>
                <w:b/>
                <w:bCs/>
                <w:szCs w:val="24"/>
                <w:lang w:val="en-US"/>
              </w:rPr>
              <w:t>Mitigations</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3A90D7" w14:textId="58B3E3AC" w:rsidR="58DCEF64" w:rsidRDefault="58DCEF64" w:rsidP="009A6909">
            <w:pPr>
              <w:spacing w:line="245" w:lineRule="auto"/>
              <w:jc w:val="both"/>
            </w:pPr>
            <w:r w:rsidRPr="58DCEF64">
              <w:rPr>
                <w:rFonts w:eastAsia="Arial" w:cs="Arial"/>
                <w:b/>
                <w:bCs/>
                <w:szCs w:val="24"/>
                <w:lang w:val="en-US"/>
              </w:rPr>
              <w:t>RAG Status</w:t>
            </w:r>
          </w:p>
        </w:tc>
      </w:tr>
      <w:tr w:rsidR="58DCEF64" w14:paraId="37FDA77D" w14:textId="77777777" w:rsidTr="009A6909">
        <w:tc>
          <w:tcPr>
            <w:tcW w:w="31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93331" w14:textId="2E88978A" w:rsidR="58DCEF64" w:rsidRDefault="58DCEF64" w:rsidP="009A6909">
            <w:pPr>
              <w:spacing w:line="245" w:lineRule="auto"/>
              <w:jc w:val="both"/>
            </w:pPr>
            <w:r w:rsidRPr="58DCEF64">
              <w:rPr>
                <w:rFonts w:eastAsia="Arial" w:cs="Arial"/>
                <w:szCs w:val="24"/>
                <w:lang w:val="en-US"/>
              </w:rPr>
              <w:t xml:space="preserve"> </w:t>
            </w:r>
            <w:r w:rsidR="00BD3F01">
              <w:rPr>
                <w:rFonts w:cs="Arial"/>
                <w:szCs w:val="24"/>
                <w:lang w:eastAsia="en-GB"/>
              </w:rPr>
              <w:t>Failure to determine the application for a review of the premises licence would put the Licensing Authority in breach of its obligations under the Licensing Act 2003 and the Licensing Act 2003 (Hearings) Regulations 2005.</w:t>
            </w:r>
          </w:p>
        </w:tc>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FC4307" w14:textId="77777777" w:rsidR="00BD3F01" w:rsidRPr="009A6909" w:rsidRDefault="00BD3F01" w:rsidP="009A6909">
            <w:pPr>
              <w:pStyle w:val="ListParagraph"/>
              <w:numPr>
                <w:ilvl w:val="0"/>
                <w:numId w:val="39"/>
              </w:numPr>
              <w:ind w:left="714" w:hanging="357"/>
              <w:textAlignment w:val="baseline"/>
              <w:rPr>
                <w:rFonts w:cs="Arial"/>
                <w:szCs w:val="24"/>
                <w:lang w:eastAsia="en-GB"/>
              </w:rPr>
            </w:pPr>
            <w:r w:rsidRPr="009A6909">
              <w:rPr>
                <w:rFonts w:cs="Arial"/>
                <w:szCs w:val="24"/>
                <w:lang w:val="en-US" w:eastAsia="en-GB"/>
              </w:rPr>
              <w:t>The Authority must determine this application within the timescales set by prescribed regulations </w:t>
            </w:r>
            <w:r w:rsidRPr="009A6909">
              <w:rPr>
                <w:rFonts w:cs="Arial"/>
                <w:szCs w:val="24"/>
                <w:lang w:eastAsia="en-GB"/>
              </w:rPr>
              <w:t> </w:t>
            </w:r>
          </w:p>
          <w:p w14:paraId="6C0B1D82" w14:textId="0F2360CE" w:rsidR="58DCEF64" w:rsidRDefault="58DCEF64" w:rsidP="009A6909">
            <w:pPr>
              <w:pStyle w:val="ListParagraph"/>
              <w:spacing w:line="245" w:lineRule="auto"/>
              <w:jc w:val="both"/>
              <w:rPr>
                <w:rFonts w:eastAsia="Arial" w:cs="Arial"/>
                <w:szCs w:val="24"/>
              </w:rPr>
            </w:pP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98C8D" w14:textId="15E2DC56" w:rsidR="58DCEF64" w:rsidRDefault="58DCEF64" w:rsidP="009A6909">
            <w:pPr>
              <w:spacing w:line="245" w:lineRule="auto"/>
              <w:jc w:val="both"/>
            </w:pPr>
            <w:r w:rsidRPr="58DCEF64">
              <w:rPr>
                <w:rFonts w:eastAsia="Arial" w:cs="Arial"/>
                <w:szCs w:val="24"/>
                <w:lang w:val="en-US"/>
              </w:rPr>
              <w:t>Green</w:t>
            </w:r>
          </w:p>
        </w:tc>
      </w:tr>
    </w:tbl>
    <w:p w14:paraId="66E5D0C9" w14:textId="21CCAC76" w:rsidR="006A233E" w:rsidRDefault="006A233E" w:rsidP="009A6909">
      <w:pPr>
        <w:pStyle w:val="Heading2"/>
        <w:jc w:val="both"/>
        <w:rPr>
          <w:rFonts w:ascii="Arial" w:hAnsi="Arial" w:cs="Times New Roman"/>
          <w:color w:val="0000FF"/>
          <w:sz w:val="24"/>
          <w:szCs w:val="24"/>
        </w:rPr>
      </w:pPr>
      <w:r>
        <w:t>Section 3 - Statutory Officer Clearance</w:t>
      </w:r>
    </w:p>
    <w:p w14:paraId="274829F3" w14:textId="77777777" w:rsidR="00503F61" w:rsidRDefault="00503F61" w:rsidP="009A6909">
      <w:pPr>
        <w:jc w:val="both"/>
        <w:rPr>
          <w:b/>
          <w:sz w:val="28"/>
        </w:rPr>
      </w:pPr>
    </w:p>
    <w:p w14:paraId="050F32BF" w14:textId="725E50A1" w:rsidR="00C92100" w:rsidRPr="00A66326" w:rsidRDefault="00C92100" w:rsidP="009A6909">
      <w:pPr>
        <w:jc w:val="both"/>
        <w:rPr>
          <w:sz w:val="28"/>
        </w:rPr>
      </w:pPr>
      <w:r w:rsidRPr="00A66326">
        <w:rPr>
          <w:b/>
          <w:sz w:val="28"/>
        </w:rPr>
        <w:t xml:space="preserve">Statutory Officer:  </w:t>
      </w:r>
    </w:p>
    <w:p w14:paraId="331A7479" w14:textId="17B5E81D" w:rsidR="00C92100" w:rsidRDefault="00C92100" w:rsidP="009A6909">
      <w:pPr>
        <w:jc w:val="both"/>
      </w:pPr>
      <w:r w:rsidRPr="00A66326">
        <w:t xml:space="preserve">Signed on behalf </w:t>
      </w:r>
      <w:r w:rsidR="00735124" w:rsidRPr="00A66326">
        <w:t>of</w:t>
      </w:r>
      <w:r w:rsidR="00735124">
        <w:t xml:space="preserve"> </w:t>
      </w:r>
      <w:r w:rsidR="00735124" w:rsidRPr="00A66326">
        <w:t>the</w:t>
      </w:r>
      <w:r w:rsidRPr="00A66326">
        <w:t xml:space="preserve"> Chief Financial Officer</w:t>
      </w:r>
    </w:p>
    <w:p w14:paraId="4693095B" w14:textId="7A3FC7E8" w:rsidR="00C72F1B" w:rsidRPr="00A66326" w:rsidRDefault="00C72F1B" w:rsidP="009A6909">
      <w:pPr>
        <w:jc w:val="both"/>
      </w:pPr>
      <w:r>
        <w:t>Jessie Man</w:t>
      </w:r>
    </w:p>
    <w:p w14:paraId="5C023D35" w14:textId="0A56FDA8" w:rsidR="00C92100" w:rsidRPr="00A66326" w:rsidRDefault="00C92100" w:rsidP="009A6909">
      <w:pPr>
        <w:spacing w:after="480"/>
        <w:jc w:val="both"/>
        <w:rPr>
          <w:sz w:val="28"/>
        </w:rPr>
      </w:pPr>
      <w:r w:rsidRPr="00A66326">
        <w:rPr>
          <w:b/>
          <w:sz w:val="28"/>
        </w:rPr>
        <w:t>Date:</w:t>
      </w:r>
      <w:r w:rsidR="00C72F1B">
        <w:rPr>
          <w:b/>
          <w:sz w:val="28"/>
        </w:rPr>
        <w:t>09 May 2023</w:t>
      </w:r>
      <w:r w:rsidRPr="00A66326">
        <w:rPr>
          <w:b/>
          <w:sz w:val="28"/>
        </w:rPr>
        <w:t xml:space="preserve">  </w:t>
      </w:r>
    </w:p>
    <w:p w14:paraId="5CF2F0CB" w14:textId="77777777" w:rsidR="00C92100" w:rsidRPr="00A66326" w:rsidRDefault="00C92100" w:rsidP="009A6909">
      <w:pPr>
        <w:jc w:val="both"/>
        <w:rPr>
          <w:sz w:val="28"/>
        </w:rPr>
      </w:pPr>
      <w:r w:rsidRPr="00A66326">
        <w:rPr>
          <w:b/>
          <w:sz w:val="28"/>
        </w:rPr>
        <w:t xml:space="preserve">Statutory Officer:  </w:t>
      </w:r>
    </w:p>
    <w:p w14:paraId="6F0C9414" w14:textId="26BD2C68" w:rsidR="00C92100" w:rsidRDefault="00C92100" w:rsidP="009A6909">
      <w:pPr>
        <w:jc w:val="both"/>
      </w:pPr>
      <w:r w:rsidRPr="00A66326">
        <w:t xml:space="preserve">Signed on </w:t>
      </w:r>
      <w:r w:rsidR="00503F61">
        <w:t>b</w:t>
      </w:r>
      <w:r w:rsidRPr="00A66326">
        <w:t>ehalf of</w:t>
      </w:r>
      <w:r w:rsidR="00503F61">
        <w:t xml:space="preserve"> </w:t>
      </w:r>
      <w:r w:rsidRPr="00A66326">
        <w:t>the Monitoring Officer</w:t>
      </w:r>
    </w:p>
    <w:p w14:paraId="3FE8CFD1" w14:textId="380DBBF3" w:rsidR="00503F61" w:rsidRDefault="00503F61" w:rsidP="009A6909">
      <w:pPr>
        <w:jc w:val="both"/>
      </w:pPr>
      <w:r>
        <w:t>Baljeet Virdee</w:t>
      </w:r>
    </w:p>
    <w:p w14:paraId="6E4119ED" w14:textId="3E543EC7" w:rsidR="00C92100" w:rsidRPr="003313EA" w:rsidRDefault="009A6909" w:rsidP="009A6909">
      <w:pPr>
        <w:spacing w:after="480"/>
        <w:jc w:val="both"/>
        <w:rPr>
          <w:sz w:val="28"/>
        </w:rPr>
      </w:pPr>
      <w:r>
        <w:rPr>
          <w:b/>
          <w:sz w:val="28"/>
        </w:rPr>
        <w:t>D</w:t>
      </w:r>
      <w:r w:rsidR="00C92100" w:rsidRPr="00A66326">
        <w:rPr>
          <w:b/>
          <w:sz w:val="28"/>
        </w:rPr>
        <w:t xml:space="preserve">ate: </w:t>
      </w:r>
      <w:r w:rsidR="00503F61">
        <w:rPr>
          <w:b/>
          <w:sz w:val="28"/>
        </w:rPr>
        <w:t>22 May 2023</w:t>
      </w:r>
    </w:p>
    <w:p w14:paraId="528C793B" w14:textId="2207DF9C" w:rsidR="00C92100" w:rsidRPr="00A66326" w:rsidRDefault="00674015" w:rsidP="009A6909">
      <w:pPr>
        <w:jc w:val="both"/>
        <w:rPr>
          <w:sz w:val="28"/>
        </w:rPr>
      </w:pPr>
      <w:r>
        <w:rPr>
          <w:b/>
          <w:sz w:val="28"/>
        </w:rPr>
        <w:t>Chief</w:t>
      </w:r>
      <w:r w:rsidR="00C92100" w:rsidRPr="00A66326">
        <w:rPr>
          <w:b/>
          <w:sz w:val="28"/>
        </w:rPr>
        <w:t xml:space="preserve"> Officer:  </w:t>
      </w:r>
    </w:p>
    <w:p w14:paraId="7213A811" w14:textId="77E1C4C7" w:rsidR="00C92100" w:rsidRDefault="002A5C38" w:rsidP="009A6909">
      <w:pPr>
        <w:jc w:val="both"/>
      </w:pPr>
      <w:r>
        <w:t xml:space="preserve">Signed </w:t>
      </w:r>
      <w:r w:rsidR="00C92100" w:rsidRPr="00A66326">
        <w:t>by the Director</w:t>
      </w:r>
      <w:r w:rsidR="00503F61">
        <w:t xml:space="preserve"> of Environmental Services</w:t>
      </w:r>
    </w:p>
    <w:p w14:paraId="2B46FA49" w14:textId="6AB65A86" w:rsidR="00503F61" w:rsidRPr="00A66326" w:rsidRDefault="00503F61" w:rsidP="009A6909">
      <w:pPr>
        <w:jc w:val="both"/>
      </w:pPr>
      <w:r>
        <w:t>Cathy Knubley</w:t>
      </w:r>
    </w:p>
    <w:p w14:paraId="2BD7B55D" w14:textId="40F92791" w:rsidR="00C92100" w:rsidRDefault="00C92100" w:rsidP="009A6909">
      <w:pPr>
        <w:spacing w:after="480"/>
        <w:jc w:val="both"/>
        <w:rPr>
          <w:b/>
          <w:sz w:val="28"/>
        </w:rPr>
      </w:pPr>
      <w:r w:rsidRPr="00A66326">
        <w:rPr>
          <w:b/>
          <w:sz w:val="28"/>
        </w:rPr>
        <w:t xml:space="preserve">Date:  </w:t>
      </w:r>
      <w:r w:rsidR="00503F61">
        <w:rPr>
          <w:b/>
          <w:sz w:val="28"/>
        </w:rPr>
        <w:t>12 May 2023</w:t>
      </w:r>
    </w:p>
    <w:p w14:paraId="316FC642" w14:textId="77777777" w:rsidR="009A6909" w:rsidRPr="00A66326" w:rsidRDefault="009A6909" w:rsidP="009A6909">
      <w:pPr>
        <w:spacing w:after="480"/>
        <w:jc w:val="both"/>
        <w:rPr>
          <w:sz w:val="28"/>
        </w:rPr>
      </w:pPr>
    </w:p>
    <w:p w14:paraId="0D556FA7" w14:textId="77777777" w:rsidR="00C92100" w:rsidRPr="00435B5D" w:rsidRDefault="00C92100" w:rsidP="009A6909">
      <w:pPr>
        <w:pStyle w:val="Heading2"/>
        <w:spacing w:after="240"/>
        <w:jc w:val="both"/>
      </w:pPr>
      <w:r>
        <w:lastRenderedPageBreak/>
        <w:t>Mandatory Checks</w:t>
      </w:r>
    </w:p>
    <w:p w14:paraId="6FB19BDC" w14:textId="3A0BD104" w:rsidR="006A233E" w:rsidRPr="00C92100" w:rsidRDefault="00C92100" w:rsidP="009A6909">
      <w:pPr>
        <w:pStyle w:val="Heading3"/>
        <w:rPr>
          <w:i/>
          <w:color w:val="FF0000"/>
          <w:sz w:val="24"/>
          <w:szCs w:val="24"/>
        </w:rPr>
      </w:pPr>
      <w:r w:rsidRPr="003313EA">
        <w:t xml:space="preserve">Ward Councillors </w:t>
      </w:r>
      <w:r>
        <w:t xml:space="preserve">notified:  </w:t>
      </w:r>
      <w:r w:rsidRPr="00A406F3">
        <w:t>YES</w:t>
      </w:r>
    </w:p>
    <w:p w14:paraId="0BB527BC" w14:textId="77777777" w:rsidR="006A233E" w:rsidRPr="001252AE" w:rsidRDefault="006A233E" w:rsidP="001252AE">
      <w:pPr>
        <w:pStyle w:val="Heading1"/>
        <w:keepNext/>
        <w:rPr>
          <w:b w:val="0"/>
          <w:sz w:val="32"/>
        </w:rPr>
      </w:pPr>
      <w:r w:rsidRPr="001252AE">
        <w:rPr>
          <w:b w:val="0"/>
          <w:sz w:val="32"/>
        </w:rPr>
        <w:t>Section 4 - Contact Details and Background Papers</w:t>
      </w:r>
    </w:p>
    <w:p w14:paraId="5AAEF291" w14:textId="0EF5B833" w:rsidR="00BD3F01" w:rsidRPr="002A5C38" w:rsidRDefault="00BD3F01" w:rsidP="009A6909">
      <w:pPr>
        <w:pStyle w:val="Infotext"/>
        <w:spacing w:before="240" w:after="240"/>
        <w:jc w:val="both"/>
      </w:pPr>
      <w:r w:rsidRPr="002A5C38">
        <w:rPr>
          <w:b/>
        </w:rPr>
        <w:t xml:space="preserve">Contact:  </w:t>
      </w:r>
      <w:r w:rsidRPr="0023463A">
        <w:t xml:space="preserve">Emma Phasey, Head of Licensing and </w:t>
      </w:r>
      <w:r w:rsidR="001252AE" w:rsidRPr="0023463A">
        <w:t>Enforcement, emma.phasey@harrow.gov.uk</w:t>
      </w:r>
    </w:p>
    <w:p w14:paraId="25635DEE" w14:textId="70174175" w:rsidR="00BD3F01" w:rsidRDefault="00BD3F01" w:rsidP="009A6909">
      <w:pPr>
        <w:pStyle w:val="Infotext"/>
        <w:spacing w:before="240" w:after="240"/>
        <w:jc w:val="both"/>
        <w:rPr>
          <w:b/>
        </w:rPr>
      </w:pPr>
      <w:r w:rsidRPr="002A5C38">
        <w:rPr>
          <w:b/>
        </w:rPr>
        <w:t xml:space="preserve">Background Papers:  </w:t>
      </w:r>
    </w:p>
    <w:p w14:paraId="47372914" w14:textId="60D72219" w:rsidR="00BD3F01" w:rsidRPr="001252AE" w:rsidRDefault="00BD3F01" w:rsidP="009A6909">
      <w:pPr>
        <w:pStyle w:val="Infotext"/>
        <w:spacing w:before="240" w:after="240"/>
        <w:jc w:val="both"/>
        <w:rPr>
          <w:b/>
          <w:u w:val="single"/>
        </w:rPr>
      </w:pPr>
      <w:r w:rsidRPr="001252AE">
        <w:rPr>
          <w:b/>
          <w:u w:val="single"/>
        </w:rPr>
        <w:t>Licensing Act 2003</w:t>
      </w:r>
    </w:p>
    <w:p w14:paraId="38440607" w14:textId="791F19F5" w:rsidR="00BD3F01" w:rsidRDefault="001252AE" w:rsidP="009A6909">
      <w:pPr>
        <w:pStyle w:val="Infotext"/>
        <w:spacing w:before="240" w:after="240"/>
        <w:jc w:val="both"/>
        <w:rPr>
          <w:b/>
        </w:rPr>
      </w:pPr>
      <w:hyperlink r:id="rId11" w:history="1">
        <w:r w:rsidRPr="00742333">
          <w:rPr>
            <w:rStyle w:val="Hyperlink"/>
            <w:b/>
          </w:rPr>
          <w:t>https://www.legislation.gov.uk/ukpga/2003/17/contents</w:t>
        </w:r>
      </w:hyperlink>
    </w:p>
    <w:p w14:paraId="650C113F" w14:textId="1AFE964D" w:rsidR="00BD3F01" w:rsidRPr="001252AE" w:rsidRDefault="00BD3F01" w:rsidP="009A6909">
      <w:pPr>
        <w:pStyle w:val="Infotext"/>
        <w:spacing w:before="240" w:after="240"/>
        <w:jc w:val="both"/>
        <w:rPr>
          <w:b/>
          <w:u w:val="single"/>
        </w:rPr>
      </w:pPr>
      <w:r w:rsidRPr="001252AE">
        <w:rPr>
          <w:b/>
          <w:u w:val="single"/>
        </w:rPr>
        <w:t>The Licensing Act 2003 (Hearings) Regulations 2005</w:t>
      </w:r>
    </w:p>
    <w:p w14:paraId="33D8B77A" w14:textId="56AA3286" w:rsidR="00BD3F01" w:rsidRDefault="001252AE" w:rsidP="009A6909">
      <w:pPr>
        <w:pStyle w:val="Infotext"/>
        <w:spacing w:before="240" w:after="240"/>
        <w:jc w:val="both"/>
        <w:rPr>
          <w:b/>
        </w:rPr>
      </w:pPr>
      <w:hyperlink r:id="rId12" w:history="1">
        <w:r w:rsidRPr="00742333">
          <w:rPr>
            <w:rStyle w:val="Hyperlink"/>
            <w:b/>
          </w:rPr>
          <w:t>https://www.legislation.gov.uk/uksi/2005/44/contents/made</w:t>
        </w:r>
      </w:hyperlink>
    </w:p>
    <w:p w14:paraId="049C7D3F" w14:textId="6F067038" w:rsidR="00BD3F01" w:rsidRPr="001252AE" w:rsidRDefault="00BD3F01" w:rsidP="009A6909">
      <w:pPr>
        <w:pStyle w:val="Infotext"/>
        <w:spacing w:before="240" w:after="240"/>
        <w:jc w:val="both"/>
        <w:rPr>
          <w:b/>
          <w:u w:val="single"/>
        </w:rPr>
      </w:pPr>
      <w:r w:rsidRPr="001252AE">
        <w:rPr>
          <w:b/>
          <w:u w:val="single"/>
        </w:rPr>
        <w:t>Licensing Act 2003 Statutory Guidance (issued December 2022).</w:t>
      </w:r>
    </w:p>
    <w:p w14:paraId="104CB4D0" w14:textId="29BC1AD2" w:rsidR="00E56EC8" w:rsidRDefault="001252AE" w:rsidP="009A6909">
      <w:pPr>
        <w:pStyle w:val="Infotext"/>
        <w:spacing w:before="240" w:after="240"/>
        <w:jc w:val="both"/>
        <w:rPr>
          <w:b/>
        </w:rPr>
      </w:pPr>
      <w:hyperlink r:id="rId13" w:history="1">
        <w:r w:rsidRPr="00742333">
          <w:rPr>
            <w:rStyle w:val="Hyperlink"/>
            <w:b/>
          </w:rPr>
          <w:t>https://assets.publishing.service.gov.uk/government/uploads/system/uploads/attachment_data/file/1125660/Revised_guidance_issued_under_section_182_of_the_Licensing_Act_2003_December_2022.pdf</w:t>
        </w:r>
      </w:hyperlink>
    </w:p>
    <w:p w14:paraId="35C1B176" w14:textId="77777777" w:rsidR="001252AE" w:rsidRPr="002A5C38" w:rsidRDefault="001252AE" w:rsidP="009A6909">
      <w:pPr>
        <w:pStyle w:val="Infotext"/>
        <w:spacing w:before="240" w:after="240"/>
        <w:jc w:val="both"/>
        <w:rPr>
          <w:b/>
        </w:rPr>
      </w:pPr>
    </w:p>
    <w:sectPr w:rsidR="001252AE"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8E1A" w14:textId="77777777" w:rsidR="0088746D" w:rsidRDefault="0088746D">
      <w:r>
        <w:separator/>
      </w:r>
    </w:p>
  </w:endnote>
  <w:endnote w:type="continuationSeparator" w:id="0">
    <w:p w14:paraId="28B87BC4" w14:textId="77777777" w:rsidR="0088746D" w:rsidRDefault="0088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316B" w14:textId="77777777" w:rsidR="0088746D" w:rsidRDefault="0088746D">
      <w:r>
        <w:separator/>
      </w:r>
    </w:p>
  </w:footnote>
  <w:footnote w:type="continuationSeparator" w:id="0">
    <w:p w14:paraId="43E3B540" w14:textId="77777777" w:rsidR="0088746D" w:rsidRDefault="0088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64EA"/>
    <w:multiLevelType w:val="multilevel"/>
    <w:tmpl w:val="6D54A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96408"/>
    <w:multiLevelType w:val="multilevel"/>
    <w:tmpl w:val="A322C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7289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46BB4"/>
    <w:multiLevelType w:val="multilevel"/>
    <w:tmpl w:val="F1E2ED46"/>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1B56FA"/>
    <w:multiLevelType w:val="hybridMultilevel"/>
    <w:tmpl w:val="205E3624"/>
    <w:lvl w:ilvl="0" w:tplc="930CC690">
      <w:start w:val="6"/>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B31601"/>
    <w:multiLevelType w:val="hybridMultilevel"/>
    <w:tmpl w:val="541AE2C4"/>
    <w:lvl w:ilvl="0" w:tplc="930CC690">
      <w:start w:val="7"/>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A3063"/>
    <w:multiLevelType w:val="multilevel"/>
    <w:tmpl w:val="F37A2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F1C98"/>
    <w:multiLevelType w:val="multilevel"/>
    <w:tmpl w:val="F1E2ED46"/>
    <w:lvl w:ilvl="0">
      <w:start w:val="1"/>
      <w:numFmt w:val="bullet"/>
      <w:lvlText w:val=""/>
      <w:lvlJc w:val="left"/>
      <w:pPr>
        <w:tabs>
          <w:tab w:val="num" w:pos="1800"/>
        </w:tabs>
        <w:ind w:left="1800" w:hanging="360"/>
      </w:pPr>
      <w:rPr>
        <w:rFonts w:ascii="Symbol" w:hAnsi="Symbol" w:hint="default"/>
      </w:rPr>
    </w:lvl>
    <w:lvl w:ilvl="1">
      <w:start w:val="1"/>
      <w:numFmt w:val="decimal"/>
      <w:lvlText w:val="3.%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23787840"/>
    <w:multiLevelType w:val="multilevel"/>
    <w:tmpl w:val="F1E2ED46"/>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E42D29"/>
    <w:multiLevelType w:val="hybridMultilevel"/>
    <w:tmpl w:val="9702C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FA2271"/>
    <w:multiLevelType w:val="multilevel"/>
    <w:tmpl w:val="00703FB2"/>
    <w:lvl w:ilvl="0">
      <w:start w:val="2"/>
      <w:numFmt w:val="decimal"/>
      <w:lvlText w:val="%1"/>
      <w:lvlJc w:val="left"/>
      <w:pPr>
        <w:ind w:left="360" w:hanging="360"/>
      </w:pPr>
      <w:rPr>
        <w:rFonts w:cs="Calibri" w:hint="default"/>
        <w:color w:val="000000"/>
      </w:rPr>
    </w:lvl>
    <w:lvl w:ilvl="1">
      <w:start w:val="6"/>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16" w15:restartNumberingAfterBreak="0">
    <w:nsid w:val="2ABD47CA"/>
    <w:multiLevelType w:val="hybridMultilevel"/>
    <w:tmpl w:val="B50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74E91"/>
    <w:multiLevelType w:val="multilevel"/>
    <w:tmpl w:val="C874A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98712B"/>
    <w:multiLevelType w:val="multilevel"/>
    <w:tmpl w:val="BF3A8C66"/>
    <w:lvl w:ilvl="0">
      <w:start w:val="4"/>
      <w:numFmt w:val="decimal"/>
      <w:lvlText w:val="%1"/>
      <w:lvlJc w:val="left"/>
      <w:pPr>
        <w:ind w:left="460" w:hanging="460"/>
      </w:pPr>
      <w:rPr>
        <w:rFonts w:hint="default"/>
      </w:rPr>
    </w:lvl>
    <w:lvl w:ilvl="1">
      <w:start w:val="3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2D1164"/>
    <w:multiLevelType w:val="multilevel"/>
    <w:tmpl w:val="A90E3058"/>
    <w:lvl w:ilvl="0">
      <w:start w:val="2"/>
      <w:numFmt w:val="decimal"/>
      <w:lvlText w:val="%1"/>
      <w:lvlJc w:val="left"/>
      <w:pPr>
        <w:ind w:left="460" w:hanging="460"/>
      </w:pPr>
      <w:rPr>
        <w:rFonts w:hint="default"/>
      </w:rPr>
    </w:lvl>
    <w:lvl w:ilvl="1">
      <w:start w:val="2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9C22AE"/>
    <w:multiLevelType w:val="multilevel"/>
    <w:tmpl w:val="F1E2ED46"/>
    <w:lvl w:ilvl="0">
      <w:start w:val="1"/>
      <w:numFmt w:val="bullet"/>
      <w:lvlText w:val=""/>
      <w:lvlJc w:val="left"/>
      <w:pPr>
        <w:tabs>
          <w:tab w:val="num" w:pos="960"/>
        </w:tabs>
        <w:ind w:left="960" w:hanging="360"/>
      </w:pPr>
      <w:rPr>
        <w:rFonts w:ascii="Symbol" w:hAnsi="Symbol" w:hint="default"/>
      </w:rPr>
    </w:lvl>
    <w:lvl w:ilvl="1">
      <w:start w:val="1"/>
      <w:numFmt w:val="decimal"/>
      <w:lvlText w:val="3.%2"/>
      <w:lvlJc w:val="left"/>
      <w:pPr>
        <w:tabs>
          <w:tab w:val="num" w:pos="960"/>
        </w:tabs>
        <w:ind w:left="9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80"/>
        </w:tabs>
        <w:ind w:left="168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400"/>
        </w:tabs>
        <w:ind w:left="2400"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21" w15:restartNumberingAfterBreak="0">
    <w:nsid w:val="49B31EE6"/>
    <w:multiLevelType w:val="multilevel"/>
    <w:tmpl w:val="464C2334"/>
    <w:lvl w:ilvl="0">
      <w:start w:val="1"/>
      <w:numFmt w:val="lowerLetter"/>
      <w:lvlText w:val="%1)"/>
      <w:lvlJc w:val="left"/>
      <w:pPr>
        <w:tabs>
          <w:tab w:val="num" w:pos="720"/>
        </w:tabs>
        <w:ind w:left="72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9795A"/>
    <w:multiLevelType w:val="multilevel"/>
    <w:tmpl w:val="6BAAF096"/>
    <w:lvl w:ilvl="0">
      <w:start w:val="4"/>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242E5C"/>
    <w:multiLevelType w:val="multilevel"/>
    <w:tmpl w:val="F1E2ED46"/>
    <w:lvl w:ilvl="0">
      <w:start w:val="1"/>
      <w:numFmt w:val="bullet"/>
      <w:lvlText w:val=""/>
      <w:lvlJc w:val="left"/>
      <w:pPr>
        <w:tabs>
          <w:tab w:val="num" w:pos="1800"/>
        </w:tabs>
        <w:ind w:left="1800" w:hanging="360"/>
      </w:pPr>
      <w:rPr>
        <w:rFonts w:ascii="Symbol" w:hAnsi="Symbol" w:hint="default"/>
      </w:rPr>
    </w:lvl>
    <w:lvl w:ilvl="1">
      <w:start w:val="1"/>
      <w:numFmt w:val="decimal"/>
      <w:lvlText w:val="3.%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586B43E6"/>
    <w:multiLevelType w:val="multilevel"/>
    <w:tmpl w:val="2E5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B7481D"/>
    <w:multiLevelType w:val="hybridMultilevel"/>
    <w:tmpl w:val="51626DE6"/>
    <w:lvl w:ilvl="0" w:tplc="4BBA720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72DD6"/>
    <w:multiLevelType w:val="multilevel"/>
    <w:tmpl w:val="F1E2ED46"/>
    <w:lvl w:ilvl="0">
      <w:start w:val="1"/>
      <w:numFmt w:val="bullet"/>
      <w:lvlText w:val=""/>
      <w:lvlJc w:val="left"/>
      <w:pPr>
        <w:tabs>
          <w:tab w:val="num" w:pos="4602"/>
        </w:tabs>
        <w:ind w:left="4602" w:hanging="360"/>
      </w:pPr>
      <w:rPr>
        <w:rFonts w:ascii="Symbol" w:hAnsi="Symbol" w:hint="default"/>
      </w:rPr>
    </w:lvl>
    <w:lvl w:ilvl="1">
      <w:start w:val="1"/>
      <w:numFmt w:val="decimal"/>
      <w:lvlText w:val="3.%2"/>
      <w:lvlJc w:val="left"/>
      <w:pPr>
        <w:tabs>
          <w:tab w:val="num" w:pos="4602"/>
        </w:tabs>
        <w:ind w:left="4602" w:hanging="360"/>
      </w:pPr>
      <w:rPr>
        <w:rFonts w:hint="default"/>
      </w:rPr>
    </w:lvl>
    <w:lvl w:ilvl="2">
      <w:start w:val="1"/>
      <w:numFmt w:val="decimal"/>
      <w:lvlText w:val="%1.%2.%3"/>
      <w:lvlJc w:val="left"/>
      <w:pPr>
        <w:tabs>
          <w:tab w:val="num" w:pos="4962"/>
        </w:tabs>
        <w:ind w:left="4962" w:hanging="720"/>
      </w:pPr>
      <w:rPr>
        <w:rFonts w:hint="default"/>
      </w:rPr>
    </w:lvl>
    <w:lvl w:ilvl="3">
      <w:start w:val="1"/>
      <w:numFmt w:val="decimal"/>
      <w:lvlText w:val="%1.%2.%3.%4"/>
      <w:lvlJc w:val="left"/>
      <w:pPr>
        <w:tabs>
          <w:tab w:val="num" w:pos="5322"/>
        </w:tabs>
        <w:ind w:left="5322" w:hanging="1080"/>
      </w:pPr>
      <w:rPr>
        <w:rFonts w:hint="default"/>
      </w:rPr>
    </w:lvl>
    <w:lvl w:ilvl="4">
      <w:start w:val="1"/>
      <w:numFmt w:val="decimal"/>
      <w:lvlText w:val="%1.%2.%3.%4.%5"/>
      <w:lvlJc w:val="left"/>
      <w:pPr>
        <w:tabs>
          <w:tab w:val="num" w:pos="5322"/>
        </w:tabs>
        <w:ind w:left="5322" w:hanging="1080"/>
      </w:pPr>
      <w:rPr>
        <w:rFonts w:hint="default"/>
      </w:rPr>
    </w:lvl>
    <w:lvl w:ilvl="5">
      <w:start w:val="1"/>
      <w:numFmt w:val="decimal"/>
      <w:lvlText w:val="%1.%2.%3.%4.%5.%6"/>
      <w:lvlJc w:val="left"/>
      <w:pPr>
        <w:tabs>
          <w:tab w:val="num" w:pos="5682"/>
        </w:tabs>
        <w:ind w:left="5682" w:hanging="144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042"/>
        </w:tabs>
        <w:ind w:left="6042" w:hanging="1800"/>
      </w:pPr>
      <w:rPr>
        <w:rFonts w:hint="default"/>
      </w:rPr>
    </w:lvl>
    <w:lvl w:ilvl="8">
      <w:start w:val="1"/>
      <w:numFmt w:val="decimal"/>
      <w:lvlText w:val="%1.%2.%3.%4.%5.%6.%7.%8.%9"/>
      <w:lvlJc w:val="left"/>
      <w:pPr>
        <w:tabs>
          <w:tab w:val="num" w:pos="6042"/>
        </w:tabs>
        <w:ind w:left="6042" w:hanging="1800"/>
      </w:pPr>
      <w:rPr>
        <w:rFonts w:hint="default"/>
      </w:rPr>
    </w:lvl>
  </w:abstractNum>
  <w:abstractNum w:abstractNumId="2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42075"/>
    <w:multiLevelType w:val="multilevel"/>
    <w:tmpl w:val="D73218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7031DD"/>
    <w:multiLevelType w:val="multilevel"/>
    <w:tmpl w:val="6264F526"/>
    <w:lvl w:ilvl="0">
      <w:start w:val="2"/>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51DA8"/>
    <w:multiLevelType w:val="hybridMultilevel"/>
    <w:tmpl w:val="FE06D9D4"/>
    <w:lvl w:ilvl="0" w:tplc="29ECA218">
      <w:start w:val="1"/>
      <w:numFmt w:val="bullet"/>
      <w:lvlText w:val="§"/>
      <w:lvlJc w:val="left"/>
      <w:pPr>
        <w:ind w:left="360" w:hanging="360"/>
      </w:pPr>
      <w:rPr>
        <w:rFonts w:ascii="Wingdings" w:hAnsi="Wingdings" w:hint="default"/>
      </w:rPr>
    </w:lvl>
    <w:lvl w:ilvl="1" w:tplc="11D46322">
      <w:start w:val="1"/>
      <w:numFmt w:val="bullet"/>
      <w:lvlText w:val="o"/>
      <w:lvlJc w:val="left"/>
      <w:pPr>
        <w:ind w:left="1080" w:hanging="360"/>
      </w:pPr>
      <w:rPr>
        <w:rFonts w:ascii="Courier New" w:hAnsi="Courier New" w:hint="default"/>
      </w:rPr>
    </w:lvl>
    <w:lvl w:ilvl="2" w:tplc="A9BAE904">
      <w:start w:val="1"/>
      <w:numFmt w:val="bullet"/>
      <w:lvlText w:val=""/>
      <w:lvlJc w:val="left"/>
      <w:pPr>
        <w:ind w:left="1800" w:hanging="360"/>
      </w:pPr>
      <w:rPr>
        <w:rFonts w:ascii="Wingdings" w:hAnsi="Wingdings" w:hint="default"/>
      </w:rPr>
    </w:lvl>
    <w:lvl w:ilvl="3" w:tplc="02EA23D4">
      <w:start w:val="1"/>
      <w:numFmt w:val="bullet"/>
      <w:lvlText w:val=""/>
      <w:lvlJc w:val="left"/>
      <w:pPr>
        <w:ind w:left="2520" w:hanging="360"/>
      </w:pPr>
      <w:rPr>
        <w:rFonts w:ascii="Symbol" w:hAnsi="Symbol" w:hint="default"/>
      </w:rPr>
    </w:lvl>
    <w:lvl w:ilvl="4" w:tplc="CE8EABE6">
      <w:start w:val="1"/>
      <w:numFmt w:val="bullet"/>
      <w:lvlText w:val="o"/>
      <w:lvlJc w:val="left"/>
      <w:pPr>
        <w:ind w:left="3240" w:hanging="360"/>
      </w:pPr>
      <w:rPr>
        <w:rFonts w:ascii="Courier New" w:hAnsi="Courier New" w:hint="default"/>
      </w:rPr>
    </w:lvl>
    <w:lvl w:ilvl="5" w:tplc="26D410C2">
      <w:start w:val="1"/>
      <w:numFmt w:val="bullet"/>
      <w:lvlText w:val=""/>
      <w:lvlJc w:val="left"/>
      <w:pPr>
        <w:ind w:left="3960" w:hanging="360"/>
      </w:pPr>
      <w:rPr>
        <w:rFonts w:ascii="Wingdings" w:hAnsi="Wingdings" w:hint="default"/>
      </w:rPr>
    </w:lvl>
    <w:lvl w:ilvl="6" w:tplc="608EB358">
      <w:start w:val="1"/>
      <w:numFmt w:val="bullet"/>
      <w:lvlText w:val=""/>
      <w:lvlJc w:val="left"/>
      <w:pPr>
        <w:ind w:left="4680" w:hanging="360"/>
      </w:pPr>
      <w:rPr>
        <w:rFonts w:ascii="Symbol" w:hAnsi="Symbol" w:hint="default"/>
      </w:rPr>
    </w:lvl>
    <w:lvl w:ilvl="7" w:tplc="CA5CAA86">
      <w:start w:val="1"/>
      <w:numFmt w:val="bullet"/>
      <w:lvlText w:val="o"/>
      <w:lvlJc w:val="left"/>
      <w:pPr>
        <w:ind w:left="5400" w:hanging="360"/>
      </w:pPr>
      <w:rPr>
        <w:rFonts w:ascii="Courier New" w:hAnsi="Courier New" w:hint="default"/>
      </w:rPr>
    </w:lvl>
    <w:lvl w:ilvl="8" w:tplc="4536900E">
      <w:start w:val="1"/>
      <w:numFmt w:val="bullet"/>
      <w:lvlText w:val=""/>
      <w:lvlJc w:val="left"/>
      <w:pPr>
        <w:ind w:left="6120" w:hanging="360"/>
      </w:pPr>
      <w:rPr>
        <w:rFonts w:ascii="Wingdings" w:hAnsi="Wingdings" w:hint="default"/>
      </w:rPr>
    </w:lvl>
  </w:abstractNum>
  <w:abstractNum w:abstractNumId="33" w15:restartNumberingAfterBreak="0">
    <w:nsid w:val="73F979C6"/>
    <w:multiLevelType w:val="hybridMultilevel"/>
    <w:tmpl w:val="F40C075E"/>
    <w:lvl w:ilvl="0" w:tplc="930CC690">
      <w:start w:val="6"/>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B58C1"/>
    <w:multiLevelType w:val="multilevel"/>
    <w:tmpl w:val="48AC7C4A"/>
    <w:lvl w:ilvl="0">
      <w:start w:val="1"/>
      <w:numFmt w:val="bullet"/>
      <w:lvlText w:val=""/>
      <w:lvlJc w:val="left"/>
      <w:pPr>
        <w:tabs>
          <w:tab w:val="num" w:pos="720"/>
        </w:tabs>
        <w:ind w:left="720" w:hanging="360"/>
      </w:pPr>
      <w:rPr>
        <w:rFonts w:ascii="Symbol" w:hAnsi="Symbol"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5"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ED75D25"/>
    <w:multiLevelType w:val="hybridMultilevel"/>
    <w:tmpl w:val="4B264246"/>
    <w:lvl w:ilvl="0" w:tplc="08090001">
      <w:start w:val="1"/>
      <w:numFmt w:val="bullet"/>
      <w:lvlText w:val=""/>
      <w:lvlJc w:val="left"/>
      <w:pPr>
        <w:ind w:left="2191" w:hanging="360"/>
      </w:pPr>
      <w:rPr>
        <w:rFonts w:ascii="Symbol" w:hAnsi="Symbol" w:hint="default"/>
      </w:rPr>
    </w:lvl>
    <w:lvl w:ilvl="1" w:tplc="08090003" w:tentative="1">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631" w:hanging="360"/>
      </w:pPr>
      <w:rPr>
        <w:rFonts w:ascii="Wingdings" w:hAnsi="Wingdings" w:hint="default"/>
      </w:rPr>
    </w:lvl>
    <w:lvl w:ilvl="3" w:tplc="08090001" w:tentative="1">
      <w:start w:val="1"/>
      <w:numFmt w:val="bullet"/>
      <w:lvlText w:val=""/>
      <w:lvlJc w:val="left"/>
      <w:pPr>
        <w:ind w:left="4351" w:hanging="360"/>
      </w:pPr>
      <w:rPr>
        <w:rFonts w:ascii="Symbol" w:hAnsi="Symbol" w:hint="default"/>
      </w:rPr>
    </w:lvl>
    <w:lvl w:ilvl="4" w:tplc="08090003" w:tentative="1">
      <w:start w:val="1"/>
      <w:numFmt w:val="bullet"/>
      <w:lvlText w:val="o"/>
      <w:lvlJc w:val="left"/>
      <w:pPr>
        <w:ind w:left="5071" w:hanging="360"/>
      </w:pPr>
      <w:rPr>
        <w:rFonts w:ascii="Courier New" w:hAnsi="Courier New" w:cs="Courier New" w:hint="default"/>
      </w:rPr>
    </w:lvl>
    <w:lvl w:ilvl="5" w:tplc="08090005" w:tentative="1">
      <w:start w:val="1"/>
      <w:numFmt w:val="bullet"/>
      <w:lvlText w:val=""/>
      <w:lvlJc w:val="left"/>
      <w:pPr>
        <w:ind w:left="5791" w:hanging="360"/>
      </w:pPr>
      <w:rPr>
        <w:rFonts w:ascii="Wingdings" w:hAnsi="Wingdings" w:hint="default"/>
      </w:rPr>
    </w:lvl>
    <w:lvl w:ilvl="6" w:tplc="08090001" w:tentative="1">
      <w:start w:val="1"/>
      <w:numFmt w:val="bullet"/>
      <w:lvlText w:val=""/>
      <w:lvlJc w:val="left"/>
      <w:pPr>
        <w:ind w:left="6511" w:hanging="360"/>
      </w:pPr>
      <w:rPr>
        <w:rFonts w:ascii="Symbol" w:hAnsi="Symbol" w:hint="default"/>
      </w:rPr>
    </w:lvl>
    <w:lvl w:ilvl="7" w:tplc="08090003" w:tentative="1">
      <w:start w:val="1"/>
      <w:numFmt w:val="bullet"/>
      <w:lvlText w:val="o"/>
      <w:lvlJc w:val="left"/>
      <w:pPr>
        <w:ind w:left="7231" w:hanging="360"/>
      </w:pPr>
      <w:rPr>
        <w:rFonts w:ascii="Courier New" w:hAnsi="Courier New" w:cs="Courier New" w:hint="default"/>
      </w:rPr>
    </w:lvl>
    <w:lvl w:ilvl="8" w:tplc="08090005" w:tentative="1">
      <w:start w:val="1"/>
      <w:numFmt w:val="bullet"/>
      <w:lvlText w:val=""/>
      <w:lvlJc w:val="left"/>
      <w:pPr>
        <w:ind w:left="7951" w:hanging="360"/>
      </w:pPr>
      <w:rPr>
        <w:rFonts w:ascii="Wingdings" w:hAnsi="Wingdings" w:hint="default"/>
      </w:rPr>
    </w:lvl>
  </w:abstractNum>
  <w:num w:numId="1" w16cid:durableId="498036416">
    <w:abstractNumId w:val="32"/>
  </w:num>
  <w:num w:numId="2" w16cid:durableId="684206836">
    <w:abstractNumId w:val="29"/>
  </w:num>
  <w:num w:numId="3" w16cid:durableId="336272576">
    <w:abstractNumId w:val="22"/>
  </w:num>
  <w:num w:numId="4" w16cid:durableId="482426627">
    <w:abstractNumId w:val="0"/>
  </w:num>
  <w:num w:numId="5" w16cid:durableId="1111239873">
    <w:abstractNumId w:val="5"/>
  </w:num>
  <w:num w:numId="6" w16cid:durableId="2087338834">
    <w:abstractNumId w:val="35"/>
  </w:num>
  <w:num w:numId="7" w16cid:durableId="616985830">
    <w:abstractNumId w:val="24"/>
  </w:num>
  <w:num w:numId="8" w16cid:durableId="2025132904">
    <w:abstractNumId w:val="13"/>
  </w:num>
  <w:num w:numId="9" w16cid:durableId="243998957">
    <w:abstractNumId w:val="8"/>
  </w:num>
  <w:num w:numId="10" w16cid:durableId="1369833844">
    <w:abstractNumId w:val="4"/>
  </w:num>
  <w:num w:numId="11" w16cid:durableId="1944217827">
    <w:abstractNumId w:val="34"/>
  </w:num>
  <w:num w:numId="12" w16cid:durableId="335039716">
    <w:abstractNumId w:val="21"/>
  </w:num>
  <w:num w:numId="13" w16cid:durableId="178659975">
    <w:abstractNumId w:val="14"/>
  </w:num>
  <w:num w:numId="14" w16cid:durableId="2115515717">
    <w:abstractNumId w:val="26"/>
  </w:num>
  <w:num w:numId="15" w16cid:durableId="1793939671">
    <w:abstractNumId w:val="36"/>
  </w:num>
  <w:num w:numId="16" w16cid:durableId="1193349562">
    <w:abstractNumId w:val="7"/>
  </w:num>
  <w:num w:numId="17" w16cid:durableId="353042704">
    <w:abstractNumId w:val="6"/>
  </w:num>
  <w:num w:numId="18" w16cid:durableId="2069187463">
    <w:abstractNumId w:val="25"/>
  </w:num>
  <w:num w:numId="19" w16cid:durableId="932083782">
    <w:abstractNumId w:val="28"/>
  </w:num>
  <w:num w:numId="20" w16cid:durableId="914509384">
    <w:abstractNumId w:val="33"/>
  </w:num>
  <w:num w:numId="21" w16cid:durableId="1804733190">
    <w:abstractNumId w:val="20"/>
  </w:num>
  <w:num w:numId="22" w16cid:durableId="16136224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0652140">
    <w:abstractNumId w:val="9"/>
  </w:num>
  <w:num w:numId="24" w16cid:durableId="2040276724">
    <w:abstractNumId w:val="27"/>
  </w:num>
  <w:num w:numId="25" w16cid:durableId="835994203">
    <w:abstractNumId w:val="3"/>
  </w:num>
  <w:num w:numId="26" w16cid:durableId="1860659357">
    <w:abstractNumId w:val="15"/>
  </w:num>
  <w:num w:numId="27" w16cid:durableId="659767846">
    <w:abstractNumId w:val="31"/>
  </w:num>
  <w:num w:numId="28" w16cid:durableId="1628929377">
    <w:abstractNumId w:val="17"/>
  </w:num>
  <w:num w:numId="29" w16cid:durableId="2081365844">
    <w:abstractNumId w:val="1"/>
  </w:num>
  <w:num w:numId="30" w16cid:durableId="493029275">
    <w:abstractNumId w:val="30"/>
  </w:num>
  <w:num w:numId="31" w16cid:durableId="634876742">
    <w:abstractNumId w:val="23"/>
  </w:num>
  <w:num w:numId="32" w16cid:durableId="1522233958">
    <w:abstractNumId w:val="18"/>
  </w:num>
  <w:num w:numId="33" w16cid:durableId="5600553">
    <w:abstractNumId w:val="19"/>
  </w:num>
  <w:num w:numId="34" w16cid:durableId="2134398805">
    <w:abstractNumId w:val="8"/>
  </w:num>
  <w:num w:numId="35" w16cid:durableId="276564348">
    <w:abstractNumId w:val="10"/>
  </w:num>
  <w:num w:numId="36" w16cid:durableId="1729111675">
    <w:abstractNumId w:val="2"/>
  </w:num>
  <w:num w:numId="37" w16cid:durableId="2095929583">
    <w:abstractNumId w:val="12"/>
  </w:num>
  <w:num w:numId="38" w16cid:durableId="1003245066">
    <w:abstractNumId w:val="11"/>
  </w:num>
  <w:num w:numId="39" w16cid:durableId="874543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5"/>
    <w:rsid w:val="0000776B"/>
    <w:rsid w:val="0002728A"/>
    <w:rsid w:val="000279A6"/>
    <w:rsid w:val="00034B71"/>
    <w:rsid w:val="000358B6"/>
    <w:rsid w:val="00065680"/>
    <w:rsid w:val="000731BC"/>
    <w:rsid w:val="000A55A6"/>
    <w:rsid w:val="000C7C66"/>
    <w:rsid w:val="000D531F"/>
    <w:rsid w:val="001024BB"/>
    <w:rsid w:val="001075CF"/>
    <w:rsid w:val="00111C79"/>
    <w:rsid w:val="001252AE"/>
    <w:rsid w:val="001306C1"/>
    <w:rsid w:val="00145857"/>
    <w:rsid w:val="00167D9B"/>
    <w:rsid w:val="00187453"/>
    <w:rsid w:val="0019105D"/>
    <w:rsid w:val="001B10A8"/>
    <w:rsid w:val="001B47CC"/>
    <w:rsid w:val="001B6D6E"/>
    <w:rsid w:val="001C47E6"/>
    <w:rsid w:val="001D1A3E"/>
    <w:rsid w:val="001E7954"/>
    <w:rsid w:val="002609B6"/>
    <w:rsid w:val="002663F4"/>
    <w:rsid w:val="002669CC"/>
    <w:rsid w:val="00296B87"/>
    <w:rsid w:val="00297D54"/>
    <w:rsid w:val="002A5C38"/>
    <w:rsid w:val="002A62B4"/>
    <w:rsid w:val="002C045F"/>
    <w:rsid w:val="002C0FCA"/>
    <w:rsid w:val="002C2E7A"/>
    <w:rsid w:val="002C6014"/>
    <w:rsid w:val="002D4B55"/>
    <w:rsid w:val="002F166F"/>
    <w:rsid w:val="002F3847"/>
    <w:rsid w:val="00312137"/>
    <w:rsid w:val="003166C9"/>
    <w:rsid w:val="003339C0"/>
    <w:rsid w:val="00335462"/>
    <w:rsid w:val="00343B81"/>
    <w:rsid w:val="003A15A7"/>
    <w:rsid w:val="003A253A"/>
    <w:rsid w:val="003C1DA8"/>
    <w:rsid w:val="003E12B2"/>
    <w:rsid w:val="00401CEE"/>
    <w:rsid w:val="0042313A"/>
    <w:rsid w:val="0045618F"/>
    <w:rsid w:val="004572EA"/>
    <w:rsid w:val="00465254"/>
    <w:rsid w:val="00472239"/>
    <w:rsid w:val="00480FD1"/>
    <w:rsid w:val="004A707B"/>
    <w:rsid w:val="004B6B5C"/>
    <w:rsid w:val="004B7FC0"/>
    <w:rsid w:val="004C298E"/>
    <w:rsid w:val="00503F61"/>
    <w:rsid w:val="00507D13"/>
    <w:rsid w:val="005326AE"/>
    <w:rsid w:val="00552B11"/>
    <w:rsid w:val="00587AB5"/>
    <w:rsid w:val="005A7EB4"/>
    <w:rsid w:val="005B4552"/>
    <w:rsid w:val="005D5876"/>
    <w:rsid w:val="00601BE5"/>
    <w:rsid w:val="00625D40"/>
    <w:rsid w:val="00655C7C"/>
    <w:rsid w:val="0066641B"/>
    <w:rsid w:val="00674015"/>
    <w:rsid w:val="00682C3F"/>
    <w:rsid w:val="006A233E"/>
    <w:rsid w:val="006A3B0F"/>
    <w:rsid w:val="00716981"/>
    <w:rsid w:val="00735124"/>
    <w:rsid w:val="007563D9"/>
    <w:rsid w:val="007959D0"/>
    <w:rsid w:val="007C1325"/>
    <w:rsid w:val="007C71D1"/>
    <w:rsid w:val="007D2AB0"/>
    <w:rsid w:val="00800679"/>
    <w:rsid w:val="00817B28"/>
    <w:rsid w:val="00825861"/>
    <w:rsid w:val="00830B1F"/>
    <w:rsid w:val="00832CC0"/>
    <w:rsid w:val="008501E9"/>
    <w:rsid w:val="008652B2"/>
    <w:rsid w:val="0088746D"/>
    <w:rsid w:val="008B4E8D"/>
    <w:rsid w:val="008C45A2"/>
    <w:rsid w:val="008F0C6A"/>
    <w:rsid w:val="009026BC"/>
    <w:rsid w:val="00906C40"/>
    <w:rsid w:val="00911565"/>
    <w:rsid w:val="00911B63"/>
    <w:rsid w:val="009462B7"/>
    <w:rsid w:val="009A6909"/>
    <w:rsid w:val="00A162B6"/>
    <w:rsid w:val="00A2249B"/>
    <w:rsid w:val="00A345D2"/>
    <w:rsid w:val="00A4380F"/>
    <w:rsid w:val="00A47FAC"/>
    <w:rsid w:val="00A818E8"/>
    <w:rsid w:val="00AA0E40"/>
    <w:rsid w:val="00AB72E0"/>
    <w:rsid w:val="00AC4D33"/>
    <w:rsid w:val="00B43855"/>
    <w:rsid w:val="00B47140"/>
    <w:rsid w:val="00B747AE"/>
    <w:rsid w:val="00BD3F01"/>
    <w:rsid w:val="00BD6333"/>
    <w:rsid w:val="00C24C28"/>
    <w:rsid w:val="00C72F1B"/>
    <w:rsid w:val="00C84CB8"/>
    <w:rsid w:val="00C877C8"/>
    <w:rsid w:val="00C92100"/>
    <w:rsid w:val="00CB658B"/>
    <w:rsid w:val="00D132B6"/>
    <w:rsid w:val="00D45DCB"/>
    <w:rsid w:val="00DA1035"/>
    <w:rsid w:val="00E16E20"/>
    <w:rsid w:val="00E34B6E"/>
    <w:rsid w:val="00E53F4D"/>
    <w:rsid w:val="00E56EC8"/>
    <w:rsid w:val="00E741BC"/>
    <w:rsid w:val="00EA1637"/>
    <w:rsid w:val="00EA3B5A"/>
    <w:rsid w:val="00ED3DFB"/>
    <w:rsid w:val="00EE1D64"/>
    <w:rsid w:val="00EE3295"/>
    <w:rsid w:val="00EF10B5"/>
    <w:rsid w:val="00EF6FB9"/>
    <w:rsid w:val="00F419C2"/>
    <w:rsid w:val="00F437FE"/>
    <w:rsid w:val="00F54671"/>
    <w:rsid w:val="00FB52CF"/>
    <w:rsid w:val="00FD1DBB"/>
    <w:rsid w:val="00FE3109"/>
    <w:rsid w:val="318CA225"/>
    <w:rsid w:val="58DCE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C7E4"/>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link w:val="Heading7Char"/>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sid w:val="00EA3B5A"/>
    <w:rPr>
      <w:rFonts w:ascii="Arial" w:hAnsi="Arial" w:cs="Arial"/>
      <w:i/>
      <w:iCs/>
      <w:sz w:val="24"/>
      <w:lang w:eastAsia="en-US"/>
    </w:rPr>
  </w:style>
  <w:style w:type="paragraph" w:styleId="BodyTextIndent">
    <w:name w:val="Body Text Indent"/>
    <w:basedOn w:val="Normal"/>
    <w:link w:val="BodyTextIndentChar"/>
    <w:rsid w:val="00A345D2"/>
    <w:pPr>
      <w:spacing w:after="120"/>
      <w:ind w:left="283"/>
    </w:pPr>
  </w:style>
  <w:style w:type="character" w:customStyle="1" w:styleId="BodyTextIndentChar">
    <w:name w:val="Body Text Indent Char"/>
    <w:basedOn w:val="DefaultParagraphFont"/>
    <w:link w:val="BodyTextIndent"/>
    <w:rsid w:val="00A345D2"/>
    <w:rPr>
      <w:rFonts w:ascii="Arial" w:hAnsi="Arial"/>
      <w:sz w:val="24"/>
      <w:lang w:eastAsia="en-US"/>
    </w:rPr>
  </w:style>
  <w:style w:type="paragraph" w:styleId="ListNumber">
    <w:name w:val="List Number"/>
    <w:basedOn w:val="Normal"/>
    <w:rsid w:val="00A345D2"/>
    <w:pPr>
      <w:numPr>
        <w:numId w:val="9"/>
      </w:numPr>
      <w:spacing w:after="180"/>
    </w:pPr>
  </w:style>
  <w:style w:type="character" w:styleId="UnresolvedMention">
    <w:name w:val="Unresolved Mention"/>
    <w:basedOn w:val="DefaultParagraphFont"/>
    <w:uiPriority w:val="99"/>
    <w:semiHidden/>
    <w:unhideWhenUsed/>
    <w:rsid w:val="00BD3F01"/>
    <w:rPr>
      <w:color w:val="605E5C"/>
      <w:shd w:val="clear" w:color="auto" w:fill="E1DFDD"/>
    </w:rPr>
  </w:style>
  <w:style w:type="paragraph" w:styleId="Revision">
    <w:name w:val="Revision"/>
    <w:hidden/>
    <w:uiPriority w:val="99"/>
    <w:semiHidden/>
    <w:rsid w:val="001D1A3E"/>
    <w:rPr>
      <w:rFonts w:ascii="Arial" w:hAnsi="Arial"/>
      <w:sz w:val="24"/>
      <w:lang w:eastAsia="en-US"/>
    </w:rPr>
  </w:style>
  <w:style w:type="character" w:styleId="CommentReference">
    <w:name w:val="annotation reference"/>
    <w:basedOn w:val="DefaultParagraphFont"/>
    <w:semiHidden/>
    <w:unhideWhenUsed/>
    <w:rsid w:val="001306C1"/>
    <w:rPr>
      <w:sz w:val="16"/>
      <w:szCs w:val="16"/>
    </w:rPr>
  </w:style>
  <w:style w:type="paragraph" w:styleId="CommentText">
    <w:name w:val="annotation text"/>
    <w:basedOn w:val="Normal"/>
    <w:link w:val="CommentTextChar"/>
    <w:semiHidden/>
    <w:unhideWhenUsed/>
    <w:rsid w:val="001306C1"/>
    <w:rPr>
      <w:sz w:val="20"/>
    </w:rPr>
  </w:style>
  <w:style w:type="character" w:customStyle="1" w:styleId="CommentTextChar">
    <w:name w:val="Comment Text Char"/>
    <w:basedOn w:val="DefaultParagraphFont"/>
    <w:link w:val="CommentText"/>
    <w:semiHidden/>
    <w:rsid w:val="001306C1"/>
    <w:rPr>
      <w:rFonts w:ascii="Arial" w:hAnsi="Arial"/>
      <w:lang w:eastAsia="en-US"/>
    </w:rPr>
  </w:style>
  <w:style w:type="paragraph" w:styleId="CommentSubject">
    <w:name w:val="annotation subject"/>
    <w:basedOn w:val="CommentText"/>
    <w:next w:val="CommentText"/>
    <w:link w:val="CommentSubjectChar"/>
    <w:semiHidden/>
    <w:unhideWhenUsed/>
    <w:rsid w:val="001306C1"/>
    <w:rPr>
      <w:b/>
      <w:bCs/>
    </w:rPr>
  </w:style>
  <w:style w:type="character" w:customStyle="1" w:styleId="CommentSubjectChar">
    <w:name w:val="Comment Subject Char"/>
    <w:basedOn w:val="CommentTextChar"/>
    <w:link w:val="CommentSubject"/>
    <w:semiHidden/>
    <w:rsid w:val="001306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125660/Revised_guidance_issued_under_section_182_of_the_Licensing_Act_2003_December_202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05/44/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03/17/cont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56971-EE7D-4B7B-8134-CC284F754277}">
  <ds:schemaRefs>
    <ds:schemaRef ds:uri="http://schemas.microsoft.com/sharepoint/v3/contenttype/forms"/>
  </ds:schemaRefs>
</ds:datastoreItem>
</file>

<file path=customXml/itemProps2.xml><?xml version="1.0" encoding="utf-8"?>
<ds:datastoreItem xmlns:ds="http://schemas.openxmlformats.org/officeDocument/2006/customXml" ds:itemID="{ECFC23FF-2DE4-42CE-90A9-978C7F18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B83DE-10B4-41F2-857D-74919E6A1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1765</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Kenny Uzodike</cp:lastModifiedBy>
  <cp:revision>5</cp:revision>
  <cp:lastPrinted>2009-12-01T15:15:00Z</cp:lastPrinted>
  <dcterms:created xsi:type="dcterms:W3CDTF">2023-05-19T15:42:00Z</dcterms:created>
  <dcterms:modified xsi:type="dcterms:W3CDTF">2023-06-01T10:42:00Z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