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364FE74F" w:rsidR="00A160B2" w:rsidRDefault="00A160B2" w:rsidP="000E7B97">
      <w:pPr>
        <w:spacing w:after="480"/>
        <w:jc w:val="both"/>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0E7B97">
            <w:pPr>
              <w:pStyle w:val="Heading1"/>
              <w:spacing w:after="240"/>
              <w:jc w:val="both"/>
              <w:outlineLvl w:val="0"/>
            </w:pPr>
            <w:r>
              <w:t>Report f</w:t>
            </w:r>
            <w:r w:rsidRPr="00C869F3">
              <w:t>or:</w:t>
            </w:r>
          </w:p>
        </w:tc>
        <w:tc>
          <w:tcPr>
            <w:tcW w:w="4921" w:type="dxa"/>
            <w:tcBorders>
              <w:bottom w:val="single" w:sz="18" w:space="0" w:color="auto"/>
            </w:tcBorders>
          </w:tcPr>
          <w:p w14:paraId="4A91C7BE" w14:textId="1005717B" w:rsidR="00A160B2" w:rsidRDefault="009633FA" w:rsidP="000E7B97">
            <w:pPr>
              <w:pStyle w:val="Heading1"/>
              <w:jc w:val="both"/>
              <w:outlineLvl w:val="0"/>
            </w:pPr>
            <w:r>
              <w:t>Overview and Scrutiny</w:t>
            </w:r>
            <w:r w:rsidR="00A160B2">
              <w:t xml:space="preserve"> Committee</w:t>
            </w:r>
          </w:p>
          <w:p w14:paraId="55A88F66" w14:textId="7FF25D98" w:rsidR="00A160B2" w:rsidRPr="00A160B2" w:rsidRDefault="00A160B2" w:rsidP="000E7B97">
            <w:pPr>
              <w:pStyle w:val="Heading1"/>
              <w:jc w:val="both"/>
              <w:outlineLvl w:val="0"/>
              <w:rPr>
                <w:color w:val="0000FF"/>
                <w:szCs w:val="24"/>
              </w:rPr>
            </w:pPr>
            <w:r w:rsidRPr="00A160B2">
              <w:rPr>
                <w:color w:val="0000FF"/>
              </w:rPr>
              <w:t xml:space="preserve"> </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0E7B97">
            <w:pPr>
              <w:pStyle w:val="Infotext"/>
              <w:jc w:val="both"/>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0E7B97">
            <w:pPr>
              <w:pStyle w:val="Infotext"/>
              <w:jc w:val="both"/>
              <w:rPr>
                <w:rFonts w:ascii="Arial Black" w:hAnsi="Arial Black" w:cs="Arial"/>
              </w:rPr>
            </w:pPr>
          </w:p>
        </w:tc>
        <w:tc>
          <w:tcPr>
            <w:tcW w:w="4921" w:type="dxa"/>
            <w:tcBorders>
              <w:top w:val="single" w:sz="18" w:space="0" w:color="auto"/>
            </w:tcBorders>
          </w:tcPr>
          <w:p w14:paraId="495EBCE8" w14:textId="0FCDDB65" w:rsidR="00A160B2" w:rsidRDefault="0015050D" w:rsidP="000E7B97">
            <w:pPr>
              <w:pStyle w:val="Infotext"/>
              <w:jc w:val="both"/>
              <w:rPr>
                <w:rFonts w:cs="Arial"/>
              </w:rPr>
            </w:pPr>
            <w:r>
              <w:rPr>
                <w:rFonts w:cs="Arial"/>
              </w:rPr>
              <w:t>6 June 2023</w:t>
            </w:r>
          </w:p>
        </w:tc>
      </w:tr>
      <w:tr w:rsidR="00A160B2" w14:paraId="79B879D4" w14:textId="77777777" w:rsidTr="007855AE">
        <w:tc>
          <w:tcPr>
            <w:tcW w:w="3388" w:type="dxa"/>
          </w:tcPr>
          <w:p w14:paraId="5EBA2504" w14:textId="77777777" w:rsidR="00A160B2" w:rsidRPr="00F92398" w:rsidRDefault="00A160B2" w:rsidP="000E7B97">
            <w:pPr>
              <w:pStyle w:val="Infotext"/>
              <w:jc w:val="both"/>
              <w:rPr>
                <w:rFonts w:ascii="Arial Black" w:hAnsi="Arial Black" w:cs="Arial"/>
              </w:rPr>
            </w:pPr>
            <w:r w:rsidRPr="00F92398">
              <w:rPr>
                <w:rFonts w:ascii="Arial Black" w:hAnsi="Arial Black" w:cs="Arial"/>
              </w:rPr>
              <w:t>Subject:</w:t>
            </w:r>
          </w:p>
          <w:p w14:paraId="262AF561" w14:textId="77777777" w:rsidR="00A160B2" w:rsidRPr="00F92398" w:rsidRDefault="00A160B2" w:rsidP="000E7B97">
            <w:pPr>
              <w:pStyle w:val="Infotext"/>
              <w:jc w:val="both"/>
              <w:rPr>
                <w:rFonts w:ascii="Arial Black" w:hAnsi="Arial Black"/>
              </w:rPr>
            </w:pPr>
          </w:p>
        </w:tc>
        <w:tc>
          <w:tcPr>
            <w:tcW w:w="4921" w:type="dxa"/>
          </w:tcPr>
          <w:p w14:paraId="5914456E" w14:textId="63909BF1" w:rsidR="00A160B2" w:rsidRDefault="0015050D" w:rsidP="000E7B97">
            <w:pPr>
              <w:pStyle w:val="Infotext"/>
              <w:jc w:val="both"/>
              <w:rPr>
                <w:rFonts w:cs="Arial"/>
              </w:rPr>
            </w:pPr>
            <w:r>
              <w:rPr>
                <w:rFonts w:cs="Arial"/>
              </w:rPr>
              <w:t>Call-In (Education) Sub Committee</w:t>
            </w:r>
          </w:p>
        </w:tc>
      </w:tr>
      <w:tr w:rsidR="00A160B2" w14:paraId="3A5E0F07" w14:textId="77777777" w:rsidTr="007855AE">
        <w:tc>
          <w:tcPr>
            <w:tcW w:w="3388" w:type="dxa"/>
          </w:tcPr>
          <w:p w14:paraId="3526B74C" w14:textId="77777777" w:rsidR="00A160B2" w:rsidRPr="00F92398" w:rsidRDefault="00A160B2" w:rsidP="000E7B97">
            <w:pPr>
              <w:pStyle w:val="Infotext"/>
              <w:jc w:val="both"/>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0E7B97">
            <w:pPr>
              <w:pStyle w:val="Infotext"/>
              <w:jc w:val="both"/>
              <w:rPr>
                <w:rFonts w:ascii="Arial Black" w:hAnsi="Arial Black" w:cs="Arial"/>
              </w:rPr>
            </w:pPr>
          </w:p>
        </w:tc>
        <w:tc>
          <w:tcPr>
            <w:tcW w:w="4921" w:type="dxa"/>
          </w:tcPr>
          <w:p w14:paraId="63C5F91B" w14:textId="1BC5C4CE" w:rsidR="00A160B2" w:rsidRDefault="0015050D" w:rsidP="000E7B97">
            <w:pPr>
              <w:pStyle w:val="Infotext"/>
              <w:jc w:val="both"/>
              <w:rPr>
                <w:rFonts w:cs="Arial"/>
              </w:rPr>
            </w:pPr>
            <w:r>
              <w:rPr>
                <w:rFonts w:cs="Arial"/>
              </w:rPr>
              <w:t>Jessica Farmer, Interim Director of Legal &amp; Governance</w:t>
            </w:r>
          </w:p>
          <w:p w14:paraId="3CF266C9" w14:textId="77777777" w:rsidR="00A160B2" w:rsidRDefault="00A160B2" w:rsidP="000E7B97">
            <w:pPr>
              <w:pStyle w:val="Infotext"/>
              <w:jc w:val="both"/>
              <w:rPr>
                <w:rFonts w:cs="Arial"/>
              </w:rPr>
            </w:pPr>
          </w:p>
        </w:tc>
      </w:tr>
      <w:tr w:rsidR="00A160B2" w14:paraId="7AFCAE74" w14:textId="77777777" w:rsidTr="007855AE">
        <w:tc>
          <w:tcPr>
            <w:tcW w:w="3388" w:type="dxa"/>
          </w:tcPr>
          <w:p w14:paraId="4573497F" w14:textId="77777777" w:rsidR="00A160B2" w:rsidRPr="00F92398" w:rsidRDefault="00A160B2" w:rsidP="000E7B97">
            <w:pPr>
              <w:pStyle w:val="Infotext"/>
              <w:jc w:val="both"/>
              <w:rPr>
                <w:rFonts w:ascii="Arial Black" w:hAnsi="Arial Black" w:cs="Arial"/>
              </w:rPr>
            </w:pPr>
            <w:r w:rsidRPr="00F92398">
              <w:rPr>
                <w:rFonts w:ascii="Arial Black" w:hAnsi="Arial Black" w:cs="Arial"/>
              </w:rPr>
              <w:t>Exempt:</w:t>
            </w:r>
          </w:p>
          <w:p w14:paraId="72D771B0" w14:textId="77777777" w:rsidR="00A160B2" w:rsidRPr="00F92398" w:rsidRDefault="00A160B2" w:rsidP="000E7B97">
            <w:pPr>
              <w:pStyle w:val="Infotext"/>
              <w:jc w:val="both"/>
              <w:rPr>
                <w:rFonts w:ascii="Arial Black" w:hAnsi="Arial Black" w:cs="Arial"/>
              </w:rPr>
            </w:pPr>
          </w:p>
        </w:tc>
        <w:tc>
          <w:tcPr>
            <w:tcW w:w="4921" w:type="dxa"/>
          </w:tcPr>
          <w:p w14:paraId="4E3163FF" w14:textId="5D296D6F" w:rsidR="00A160B2" w:rsidRDefault="00A160B2" w:rsidP="000E7B97">
            <w:pPr>
              <w:pStyle w:val="Infotext"/>
              <w:jc w:val="both"/>
              <w:rPr>
                <w:rFonts w:cs="Arial"/>
              </w:rPr>
            </w:pPr>
            <w:r>
              <w:rPr>
                <w:rFonts w:cs="Arial"/>
              </w:rPr>
              <w:t>No</w:t>
            </w:r>
          </w:p>
          <w:p w14:paraId="57D61F9A" w14:textId="63983946" w:rsidR="00A160B2" w:rsidRDefault="00A160B2" w:rsidP="000E7B97">
            <w:pPr>
              <w:pStyle w:val="Infotext"/>
              <w:jc w:val="both"/>
              <w:rPr>
                <w:rFonts w:cs="Arial"/>
              </w:rPr>
            </w:pPr>
          </w:p>
          <w:p w14:paraId="4C873B59" w14:textId="77777777" w:rsidR="00A160B2" w:rsidRDefault="00A160B2" w:rsidP="000E7B97">
            <w:pPr>
              <w:pStyle w:val="Infotext"/>
              <w:jc w:val="both"/>
              <w:rPr>
                <w:rFonts w:cs="Arial"/>
              </w:rPr>
            </w:pPr>
          </w:p>
        </w:tc>
      </w:tr>
      <w:tr w:rsidR="00A160B2" w14:paraId="521D9222" w14:textId="77777777" w:rsidTr="007855AE">
        <w:tc>
          <w:tcPr>
            <w:tcW w:w="3388" w:type="dxa"/>
          </w:tcPr>
          <w:p w14:paraId="4ABD9246" w14:textId="77777777" w:rsidR="00A160B2" w:rsidRDefault="00A160B2" w:rsidP="000E7B97">
            <w:pPr>
              <w:pStyle w:val="Infotext"/>
              <w:jc w:val="both"/>
              <w:rPr>
                <w:rFonts w:ascii="Arial Black" w:hAnsi="Arial Black" w:cs="Arial"/>
              </w:rPr>
            </w:pPr>
            <w:r>
              <w:rPr>
                <w:rFonts w:ascii="Arial Black" w:hAnsi="Arial Black" w:cs="Arial"/>
              </w:rPr>
              <w:t>Wards affected:</w:t>
            </w:r>
          </w:p>
          <w:p w14:paraId="65A16444" w14:textId="77777777" w:rsidR="00A160B2" w:rsidRPr="00F92398" w:rsidRDefault="00A160B2" w:rsidP="000E7B97">
            <w:pPr>
              <w:pStyle w:val="Infotext"/>
              <w:jc w:val="both"/>
              <w:rPr>
                <w:rFonts w:ascii="Arial Black" w:hAnsi="Arial Black" w:cs="Arial"/>
              </w:rPr>
            </w:pPr>
          </w:p>
        </w:tc>
        <w:tc>
          <w:tcPr>
            <w:tcW w:w="4921" w:type="dxa"/>
          </w:tcPr>
          <w:p w14:paraId="6CD568AC" w14:textId="6751E82D" w:rsidR="00A160B2" w:rsidRDefault="0015050D" w:rsidP="000E7B97">
            <w:pPr>
              <w:pStyle w:val="Infotext"/>
              <w:jc w:val="both"/>
            </w:pPr>
            <w:r>
              <w:rPr>
                <w:rFonts w:cs="Arial"/>
                <w:szCs w:val="24"/>
              </w:rPr>
              <w:t>All Wards</w:t>
            </w:r>
          </w:p>
        </w:tc>
      </w:tr>
      <w:tr w:rsidR="00A160B2" w14:paraId="7C35C184" w14:textId="77777777" w:rsidTr="007855AE">
        <w:tc>
          <w:tcPr>
            <w:tcW w:w="3388" w:type="dxa"/>
          </w:tcPr>
          <w:p w14:paraId="537C01BC" w14:textId="77777777" w:rsidR="00A160B2" w:rsidRPr="00F92398" w:rsidRDefault="00A160B2" w:rsidP="000E7B97">
            <w:pPr>
              <w:pStyle w:val="Infotext"/>
              <w:jc w:val="both"/>
              <w:rPr>
                <w:rFonts w:ascii="Arial Black" w:hAnsi="Arial Black" w:cs="Arial"/>
              </w:rPr>
            </w:pPr>
          </w:p>
          <w:p w14:paraId="575B6BE7" w14:textId="77777777" w:rsidR="00A160B2" w:rsidRPr="00F92398" w:rsidRDefault="00A160B2" w:rsidP="000E7B97">
            <w:pPr>
              <w:pStyle w:val="Infotext"/>
              <w:jc w:val="both"/>
              <w:rPr>
                <w:rFonts w:ascii="Arial Black" w:hAnsi="Arial Black" w:cs="Arial"/>
              </w:rPr>
            </w:pPr>
            <w:r w:rsidRPr="00F92398">
              <w:rPr>
                <w:rFonts w:ascii="Arial Black" w:hAnsi="Arial Black" w:cs="Arial"/>
              </w:rPr>
              <w:t>Enclosures:</w:t>
            </w:r>
          </w:p>
          <w:p w14:paraId="69475841" w14:textId="77777777" w:rsidR="00A160B2" w:rsidRPr="00F92398" w:rsidRDefault="00A160B2" w:rsidP="000E7B97">
            <w:pPr>
              <w:pStyle w:val="Infotext"/>
              <w:jc w:val="both"/>
              <w:rPr>
                <w:rFonts w:ascii="Arial Black" w:hAnsi="Arial Black" w:cs="Arial"/>
              </w:rPr>
            </w:pPr>
          </w:p>
        </w:tc>
        <w:tc>
          <w:tcPr>
            <w:tcW w:w="4921" w:type="dxa"/>
          </w:tcPr>
          <w:p w14:paraId="71119F8F" w14:textId="77777777" w:rsidR="00A160B2" w:rsidRDefault="00A160B2" w:rsidP="000E7B97">
            <w:pPr>
              <w:pStyle w:val="Infotext"/>
              <w:jc w:val="both"/>
            </w:pPr>
          </w:p>
          <w:p w14:paraId="4C232B02" w14:textId="509A6E53" w:rsidR="00A160B2" w:rsidRDefault="005E756C" w:rsidP="000E7B97">
            <w:pPr>
              <w:pStyle w:val="Infotext"/>
              <w:jc w:val="both"/>
            </w:pPr>
            <w:r>
              <w:t>Appendix 1 – Proposed Membership List</w:t>
            </w:r>
          </w:p>
        </w:tc>
      </w:tr>
    </w:tbl>
    <w:p w14:paraId="18A939CB" w14:textId="7259CE31" w:rsidR="007855AE" w:rsidRDefault="007855AE" w:rsidP="000E7B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1D31A2A0" w:rsidR="00A160B2" w:rsidRDefault="00A160B2" w:rsidP="000E7B97">
            <w:pPr>
              <w:pStyle w:val="Heading2"/>
              <w:spacing w:before="240" w:after="240"/>
              <w:jc w:val="both"/>
            </w:pPr>
            <w:r>
              <w:t>Section 1 – Summary and Recommendation</w:t>
            </w:r>
          </w:p>
        </w:tc>
      </w:tr>
      <w:tr w:rsidR="00A160B2" w14:paraId="281F4D12" w14:textId="77777777" w:rsidTr="007855AE">
        <w:trPr>
          <w:tblHeader/>
        </w:trPr>
        <w:tc>
          <w:tcPr>
            <w:tcW w:w="8309" w:type="dxa"/>
            <w:tcBorders>
              <w:left w:val="nil"/>
              <w:bottom w:val="nil"/>
              <w:right w:val="nil"/>
            </w:tcBorders>
          </w:tcPr>
          <w:p w14:paraId="4124675E" w14:textId="55BF95CE" w:rsidR="00A160B2" w:rsidRPr="004F0E44" w:rsidRDefault="00A160B2" w:rsidP="000E7B97">
            <w:pPr>
              <w:jc w:val="both"/>
            </w:pPr>
            <w:r w:rsidRPr="004F0E44">
              <w:t>This report sets out</w:t>
            </w:r>
            <w:r w:rsidR="00F12253" w:rsidRPr="004F0E44">
              <w:t xml:space="preserve"> proposed changes to the Call-In (Education) Sub-Committee</w:t>
            </w:r>
          </w:p>
          <w:p w14:paraId="2C9E4A81" w14:textId="77777777" w:rsidR="00A160B2" w:rsidRDefault="00A160B2" w:rsidP="000E7B97">
            <w:pPr>
              <w:jc w:val="both"/>
              <w:rPr>
                <w:rFonts w:ascii="Arial Bold" w:hAnsi="Arial Bold"/>
                <w:b/>
                <w:sz w:val="28"/>
              </w:rPr>
            </w:pPr>
          </w:p>
          <w:p w14:paraId="4F9D0A08" w14:textId="14388E0C" w:rsidR="00A160B2" w:rsidRDefault="00A160B2" w:rsidP="000E7B97">
            <w:pPr>
              <w:jc w:val="both"/>
              <w:rPr>
                <w:rFonts w:ascii="Arial Bold" w:hAnsi="Arial Bold"/>
                <w:b/>
                <w:sz w:val="28"/>
              </w:rPr>
            </w:pPr>
            <w:r w:rsidRPr="00A160B2">
              <w:rPr>
                <w:rFonts w:ascii="Arial Bold" w:hAnsi="Arial Bold"/>
                <w:b/>
                <w:sz w:val="28"/>
              </w:rPr>
              <w:t xml:space="preserve">Recommendation: </w:t>
            </w:r>
          </w:p>
          <w:p w14:paraId="5696C692" w14:textId="796CD005" w:rsidR="00A160B2" w:rsidRDefault="00A160B2" w:rsidP="000E7B97">
            <w:pPr>
              <w:jc w:val="both"/>
            </w:pPr>
            <w:r>
              <w:t>The Committee is requested to</w:t>
            </w:r>
            <w:r w:rsidR="00F12253">
              <w:t xml:space="preserve"> </w:t>
            </w:r>
            <w:r w:rsidR="004F0E44">
              <w:t>approve</w:t>
            </w:r>
            <w:r w:rsidR="00F801D5">
              <w:t xml:space="preserve"> the </w:t>
            </w:r>
            <w:r w:rsidR="005D5B93">
              <w:t xml:space="preserve">membership of the Call-In (Education) Sub Committee to comprise of </w:t>
            </w:r>
            <w:r w:rsidR="00F96B56">
              <w:t>13 Councillors (being 9 Conservative and 4 Labour Members) and the 4 voting Co-opted members</w:t>
            </w:r>
            <w:r w:rsidR="00F801D5">
              <w:t>, as set out in Appendix 1 to this report.</w:t>
            </w:r>
          </w:p>
          <w:p w14:paraId="714CBDEE" w14:textId="2EB55C0B" w:rsidR="00A160B2" w:rsidRDefault="00A160B2" w:rsidP="000E7B97">
            <w:pPr>
              <w:jc w:val="both"/>
            </w:pPr>
          </w:p>
        </w:tc>
      </w:tr>
    </w:tbl>
    <w:p w14:paraId="53DC7DE2" w14:textId="77777777" w:rsidR="002A2389" w:rsidRDefault="002A2389" w:rsidP="000E7B97">
      <w:pPr>
        <w:pStyle w:val="Heading2"/>
        <w:jc w:val="both"/>
      </w:pPr>
      <w:r>
        <w:t>Section 2 – Report</w:t>
      </w:r>
    </w:p>
    <w:p w14:paraId="4CD638D8" w14:textId="435CADE5" w:rsidR="002A2389" w:rsidRDefault="002A2389" w:rsidP="000E7B97">
      <w:pPr>
        <w:jc w:val="both"/>
        <w:rPr>
          <w:sz w:val="28"/>
        </w:rPr>
      </w:pPr>
    </w:p>
    <w:p w14:paraId="1FB124D1" w14:textId="19B0362F" w:rsidR="00C52595" w:rsidRPr="00500DE9" w:rsidRDefault="00C52595" w:rsidP="000E7B97">
      <w:pPr>
        <w:pStyle w:val="ListParagraph"/>
        <w:numPr>
          <w:ilvl w:val="0"/>
          <w:numId w:val="17"/>
        </w:numPr>
        <w:jc w:val="both"/>
        <w:rPr>
          <w:sz w:val="24"/>
          <w:szCs w:val="24"/>
        </w:rPr>
      </w:pPr>
      <w:r w:rsidRPr="00500DE9">
        <w:rPr>
          <w:sz w:val="24"/>
          <w:szCs w:val="24"/>
        </w:rPr>
        <w:t xml:space="preserve">The Council is required to appoint four voting co-opted members to the Scrutiny body that is responsible for education issues. This is currently the </w:t>
      </w:r>
      <w:r w:rsidR="00E06872" w:rsidRPr="00500DE9">
        <w:rPr>
          <w:sz w:val="24"/>
          <w:szCs w:val="24"/>
        </w:rPr>
        <w:t>Call-in (Education)</w:t>
      </w:r>
      <w:r w:rsidRPr="00500DE9">
        <w:rPr>
          <w:sz w:val="24"/>
          <w:szCs w:val="24"/>
        </w:rPr>
        <w:t xml:space="preserve"> Sub-Committee. These co-opted members are entitled to vote on any matter that relates to an education function. </w:t>
      </w:r>
    </w:p>
    <w:p w14:paraId="0A1C7A9A" w14:textId="77777777" w:rsidR="00C52595" w:rsidRDefault="00C52595" w:rsidP="000E7B97">
      <w:pPr>
        <w:jc w:val="both"/>
      </w:pPr>
    </w:p>
    <w:p w14:paraId="7275F7F3" w14:textId="718854E3" w:rsidR="00AA5C97" w:rsidRPr="001349A2" w:rsidRDefault="00C52595" w:rsidP="000E7B97">
      <w:pPr>
        <w:pStyle w:val="ListParagraph"/>
        <w:numPr>
          <w:ilvl w:val="0"/>
          <w:numId w:val="17"/>
        </w:numPr>
        <w:jc w:val="both"/>
        <w:rPr>
          <w:sz w:val="24"/>
          <w:szCs w:val="24"/>
        </w:rPr>
      </w:pPr>
      <w:r w:rsidRPr="001349A2">
        <w:rPr>
          <w:sz w:val="24"/>
          <w:szCs w:val="24"/>
        </w:rPr>
        <w:t xml:space="preserve">The </w:t>
      </w:r>
      <w:r w:rsidR="0023434A" w:rsidRPr="001349A2">
        <w:rPr>
          <w:sz w:val="24"/>
          <w:szCs w:val="24"/>
        </w:rPr>
        <w:t>Committee</w:t>
      </w:r>
      <w:r w:rsidRPr="001349A2">
        <w:rPr>
          <w:sz w:val="24"/>
          <w:szCs w:val="24"/>
        </w:rPr>
        <w:t xml:space="preserve"> Procedure Rules provide that at meetings of the call-in sub</w:t>
      </w:r>
      <w:r w:rsidR="009A7B83">
        <w:rPr>
          <w:sz w:val="24"/>
          <w:szCs w:val="24"/>
        </w:rPr>
        <w:t>-</w:t>
      </w:r>
      <w:r w:rsidRPr="001349A2">
        <w:rPr>
          <w:sz w:val="24"/>
          <w:szCs w:val="24"/>
        </w:rPr>
        <w:t xml:space="preserve">committee the four co-opted members have attendance, speaking and voting rights whenever the sub-committee is discussing “a matter relating to the Council’s education functions.” </w:t>
      </w:r>
    </w:p>
    <w:p w14:paraId="10B49244" w14:textId="77777777" w:rsidR="00AA5C97" w:rsidRDefault="00AA5C97" w:rsidP="000E7B97">
      <w:pPr>
        <w:jc w:val="both"/>
      </w:pPr>
    </w:p>
    <w:p w14:paraId="324EDD96" w14:textId="330855B6" w:rsidR="00AA5C97" w:rsidRDefault="00C52595" w:rsidP="000E7B97">
      <w:pPr>
        <w:ind w:left="360" w:hanging="360"/>
        <w:jc w:val="both"/>
      </w:pPr>
      <w:r>
        <w:t xml:space="preserve">3. </w:t>
      </w:r>
      <w:r w:rsidR="00870C27">
        <w:tab/>
      </w:r>
      <w:r>
        <w:t>The size of the sub-committee is</w:t>
      </w:r>
      <w:r w:rsidR="00E06872">
        <w:t xml:space="preserve"> currently</w:t>
      </w:r>
      <w:r>
        <w:t xml:space="preserve"> </w:t>
      </w:r>
      <w:r w:rsidR="009310F3">
        <w:t>9</w:t>
      </w:r>
      <w:r>
        <w:t xml:space="preserve"> Councillors. </w:t>
      </w:r>
      <w:r w:rsidR="009A5F74">
        <w:t>U</w:t>
      </w:r>
      <w:r>
        <w:t>nder the Local Government and Housing Act 1989</w:t>
      </w:r>
      <w:r w:rsidR="009A7B83">
        <w:t>,</w:t>
      </w:r>
      <w:r>
        <w:t xml:space="preserve"> a political group with a majority of members on the Council is entitled to have a majority on all committees, sub-committees etc of the Council. At present when the Call-In</w:t>
      </w:r>
      <w:r w:rsidR="00870C27">
        <w:t xml:space="preserve"> (Education)</w:t>
      </w:r>
      <w:r>
        <w:t xml:space="preserve"> </w:t>
      </w:r>
      <w:r w:rsidR="00870C27">
        <w:t>S</w:t>
      </w:r>
      <w:r>
        <w:t>ub</w:t>
      </w:r>
      <w:r w:rsidR="009A7B83">
        <w:t>-C</w:t>
      </w:r>
      <w:r>
        <w:t>ommittee is considering education matters this is not the case</w:t>
      </w:r>
      <w:r w:rsidR="00E440A0">
        <w:t>, due to the voting rights of the co-opted members.</w:t>
      </w:r>
      <w:r>
        <w:t xml:space="preserve"> </w:t>
      </w:r>
    </w:p>
    <w:p w14:paraId="4D540767" w14:textId="77777777" w:rsidR="00AA5C97" w:rsidRDefault="00AA5C97" w:rsidP="000E7B97">
      <w:pPr>
        <w:jc w:val="both"/>
      </w:pPr>
    </w:p>
    <w:p w14:paraId="1ED0CB3D" w14:textId="18321F73" w:rsidR="00AA5C97" w:rsidRDefault="00C52595" w:rsidP="000E7B97">
      <w:pPr>
        <w:ind w:left="360" w:hanging="360"/>
        <w:jc w:val="both"/>
      </w:pPr>
      <w:r>
        <w:t xml:space="preserve">4. </w:t>
      </w:r>
      <w:r w:rsidR="00870C27">
        <w:tab/>
      </w:r>
      <w:r>
        <w:t>The only option available to address this</w:t>
      </w:r>
      <w:r w:rsidR="00616CBB">
        <w:t xml:space="preserve"> and to ensure compliance with the regulations</w:t>
      </w:r>
      <w:r>
        <w:t xml:space="preserve"> is to </w:t>
      </w:r>
      <w:r w:rsidR="00616CBB">
        <w:t>increase the</w:t>
      </w:r>
      <w:r>
        <w:t xml:space="preserve"> size of the Education Call-in </w:t>
      </w:r>
      <w:r w:rsidR="009A7B83">
        <w:t>S</w:t>
      </w:r>
      <w:r>
        <w:t>ub-</w:t>
      </w:r>
      <w:r w:rsidR="009A7B83">
        <w:t>C</w:t>
      </w:r>
      <w:r>
        <w:t xml:space="preserve">ommittee </w:t>
      </w:r>
      <w:r w:rsidR="00616CBB">
        <w:t>to 17</w:t>
      </w:r>
      <w:r>
        <w:t xml:space="preserve"> </w:t>
      </w:r>
      <w:r w:rsidR="00616CBB">
        <w:t>(</w:t>
      </w:r>
      <w:r w:rsidR="00870853">
        <w:t>9 Conservative and 4 Labour</w:t>
      </w:r>
      <w:r w:rsidR="00AE5240">
        <w:t xml:space="preserve"> </w:t>
      </w:r>
      <w:r w:rsidR="007810E8">
        <w:t>Councillors</w:t>
      </w:r>
      <w:r w:rsidR="00870853">
        <w:t>)</w:t>
      </w:r>
      <w:r>
        <w:t xml:space="preserve"> and 4 co-optees). </w:t>
      </w:r>
    </w:p>
    <w:p w14:paraId="003C5551" w14:textId="77777777" w:rsidR="00AA5C97" w:rsidRDefault="00AA5C97" w:rsidP="000E7B97">
      <w:pPr>
        <w:jc w:val="both"/>
      </w:pPr>
    </w:p>
    <w:p w14:paraId="3469E0D9" w14:textId="77777777" w:rsidR="00213BE7" w:rsidRDefault="00213BE7" w:rsidP="000E7B97">
      <w:pPr>
        <w:pStyle w:val="Heading2"/>
        <w:jc w:val="both"/>
      </w:pPr>
      <w:r>
        <w:t>Legal Implications</w:t>
      </w:r>
    </w:p>
    <w:p w14:paraId="333D0B50" w14:textId="77777777" w:rsidR="00500DE9" w:rsidRPr="00500DE9" w:rsidRDefault="00500DE9" w:rsidP="000E7B97">
      <w:pPr>
        <w:jc w:val="both"/>
      </w:pPr>
    </w:p>
    <w:p w14:paraId="595CC5F3" w14:textId="70199D90" w:rsidR="00A17BED" w:rsidRDefault="00A17BED" w:rsidP="000E7B97">
      <w:pPr>
        <w:jc w:val="both"/>
        <w:rPr>
          <w:rFonts w:ascii="Calibri" w:hAnsi="Calibri"/>
          <w:sz w:val="22"/>
        </w:rPr>
      </w:pPr>
      <w:r>
        <w:t>1. The relevant seats  for co-opted members on the subcommittee are those for people appointed under para</w:t>
      </w:r>
      <w:r w:rsidR="00500DE9">
        <w:t>graph</w:t>
      </w:r>
      <w:r>
        <w:t xml:space="preserve"> 7(1) and (3) of Sched</w:t>
      </w:r>
      <w:r w:rsidR="00500DE9">
        <w:t>ule</w:t>
      </w:r>
      <w:r>
        <w:t xml:space="preserve"> A1 to the 2000 Act:-</w:t>
      </w:r>
    </w:p>
    <w:p w14:paraId="5722F2C9" w14:textId="77777777" w:rsidR="00A17BED" w:rsidRDefault="00A17BED" w:rsidP="000E7B97">
      <w:pPr>
        <w:ind w:left="720"/>
        <w:jc w:val="both"/>
      </w:pPr>
      <w:r>
        <w:rPr>
          <w:i/>
          <w:iCs/>
        </w:rPr>
        <w:t> </w:t>
      </w:r>
    </w:p>
    <w:p w14:paraId="72C8FE5B" w14:textId="77777777" w:rsidR="00A17BED" w:rsidRDefault="00A17BED" w:rsidP="000E7B97">
      <w:pPr>
        <w:ind w:left="720"/>
        <w:jc w:val="both"/>
      </w:pPr>
      <w:r>
        <w:rPr>
          <w:i/>
          <w:iCs/>
        </w:rPr>
        <w:t>7(1)     In the case of a relevant authority that maintains one or more Church of England schools, an overview and scrutiny committee or sub-committee to which this paragraph applies must include at least one qualifying person.</w:t>
      </w:r>
    </w:p>
    <w:p w14:paraId="23D2D422" w14:textId="77777777" w:rsidR="00A17BED" w:rsidRDefault="00A17BED" w:rsidP="000E7B97">
      <w:pPr>
        <w:ind w:left="720"/>
        <w:jc w:val="both"/>
      </w:pPr>
      <w:r>
        <w:rPr>
          <w:i/>
          <w:iCs/>
        </w:rPr>
        <w:t>…</w:t>
      </w:r>
    </w:p>
    <w:p w14:paraId="6A20E58E" w14:textId="77777777" w:rsidR="00A17BED" w:rsidRDefault="00A17BED" w:rsidP="000E7B97">
      <w:pPr>
        <w:ind w:left="720"/>
        <w:jc w:val="both"/>
      </w:pPr>
      <w:r>
        <w:rPr>
          <w:i/>
          <w:iCs/>
        </w:rPr>
        <w:t> </w:t>
      </w:r>
    </w:p>
    <w:p w14:paraId="0B136430" w14:textId="77777777" w:rsidR="00A17BED" w:rsidRDefault="00A17BED" w:rsidP="000E7B97">
      <w:pPr>
        <w:ind w:left="720"/>
        <w:jc w:val="both"/>
      </w:pPr>
      <w:r>
        <w:rPr>
          <w:i/>
          <w:iCs/>
        </w:rPr>
        <w:t>(3)     In the case of a relevant authority that maintains one or more Roman Catholic Church schools, an overview and scrutiny committee or sub-committee to which this paragraph applies must include at least one qualifying person.</w:t>
      </w:r>
    </w:p>
    <w:p w14:paraId="01F732A0" w14:textId="77777777" w:rsidR="00A17BED" w:rsidRDefault="00A17BED" w:rsidP="000E7B97">
      <w:pPr>
        <w:jc w:val="both"/>
      </w:pPr>
      <w:r>
        <w:t> </w:t>
      </w:r>
    </w:p>
    <w:p w14:paraId="035DC58C" w14:textId="09D772DF" w:rsidR="00A17BED" w:rsidRDefault="00A17BED" w:rsidP="000E7B97">
      <w:pPr>
        <w:jc w:val="both"/>
      </w:pPr>
      <w:r>
        <w:t>2. By s 9FA(6)(b) of the Local Government Act 2000, the political balance requirements of s</w:t>
      </w:r>
      <w:r w:rsidR="00500DE9">
        <w:t>ection</w:t>
      </w:r>
      <w:r>
        <w:t xml:space="preserve"> 15 of the Local Government Housing Act 1989 apply to Overview and Scrutiny Committees. The relevant principle under s 15(5) is</w:t>
      </w:r>
    </w:p>
    <w:p w14:paraId="3F703FCA" w14:textId="77777777" w:rsidR="00A17BED" w:rsidRDefault="00A17BED" w:rsidP="000E7B97">
      <w:pPr>
        <w:jc w:val="both"/>
      </w:pPr>
      <w:r>
        <w:t> </w:t>
      </w:r>
    </w:p>
    <w:p w14:paraId="504BEE22" w14:textId="77777777" w:rsidR="00A17BED" w:rsidRDefault="00A17BED" w:rsidP="000E7B97">
      <w:pPr>
        <w:ind w:left="720"/>
        <w:jc w:val="both"/>
      </w:pPr>
      <w:r>
        <w:rPr>
          <w:i/>
          <w:iCs/>
        </w:rPr>
        <w:t xml:space="preserve">(b)     that the </w:t>
      </w:r>
      <w:r w:rsidRPr="00D94D33">
        <w:rPr>
          <w:i/>
          <w:iCs/>
        </w:rPr>
        <w:t>majority of the seats on the body is allocated</w:t>
      </w:r>
      <w:r>
        <w:rPr>
          <w:i/>
          <w:iCs/>
        </w:rPr>
        <w:t xml:space="preserve"> to a particular political group if the number of persons belonging to that group is a majority of the authority's membership;</w:t>
      </w:r>
    </w:p>
    <w:p w14:paraId="0BFB5D08" w14:textId="77777777" w:rsidR="00A17BED" w:rsidRDefault="00A17BED" w:rsidP="000E7B97">
      <w:pPr>
        <w:jc w:val="both"/>
      </w:pPr>
      <w:r>
        <w:t> </w:t>
      </w:r>
    </w:p>
    <w:p w14:paraId="452CA4BE" w14:textId="189B676C" w:rsidR="00A17BED" w:rsidRDefault="00A17BED" w:rsidP="000E7B97">
      <w:pPr>
        <w:jc w:val="both"/>
      </w:pPr>
      <w:r>
        <w:t>3. “Seat” is defined in Sched</w:t>
      </w:r>
      <w:r w:rsidR="00500DE9">
        <w:t>ule</w:t>
      </w:r>
      <w:r>
        <w:t xml:space="preserve"> 1 to the 1989 Act as follows</w:t>
      </w:r>
    </w:p>
    <w:p w14:paraId="5CB8E6A3" w14:textId="77777777" w:rsidR="00A17BED" w:rsidRDefault="00A17BED" w:rsidP="000E7B97">
      <w:pPr>
        <w:jc w:val="both"/>
      </w:pPr>
      <w:r>
        <w:t> </w:t>
      </w:r>
    </w:p>
    <w:p w14:paraId="3C74DE58" w14:textId="77777777" w:rsidR="00A17BED" w:rsidRDefault="00A17BED" w:rsidP="000E7B97">
      <w:pPr>
        <w:ind w:left="720"/>
        <w:jc w:val="both"/>
      </w:pPr>
      <w:r>
        <w:rPr>
          <w:i/>
          <w:iCs/>
        </w:rPr>
        <w:t>“seat”, in relation to a body to which section 15 of this Act applies, means such a position as a member of that body as—</w:t>
      </w:r>
    </w:p>
    <w:p w14:paraId="6A82BBB8" w14:textId="77777777" w:rsidR="00A17BED" w:rsidRDefault="00A17BED" w:rsidP="000E7B97">
      <w:pPr>
        <w:ind w:left="720"/>
        <w:jc w:val="both"/>
      </w:pPr>
      <w:r>
        <w:rPr>
          <w:i/>
          <w:iCs/>
        </w:rPr>
        <w:t> </w:t>
      </w:r>
    </w:p>
    <w:p w14:paraId="3468754F" w14:textId="77777777" w:rsidR="00A17BED" w:rsidRDefault="00A17BED" w:rsidP="000E7B97">
      <w:pPr>
        <w:ind w:left="1440"/>
        <w:jc w:val="both"/>
      </w:pPr>
      <w:r>
        <w:rPr>
          <w:i/>
          <w:iCs/>
        </w:rPr>
        <w:t>(a)     entitles the person holding the position to vote at meetings of the body on any question which falls to be decided at such a meeting; and</w:t>
      </w:r>
    </w:p>
    <w:p w14:paraId="1107E35E" w14:textId="3F6FF896" w:rsidR="00A17BED" w:rsidRDefault="00A17BED" w:rsidP="000E7B97">
      <w:pPr>
        <w:ind w:left="720"/>
        <w:jc w:val="both"/>
      </w:pPr>
      <w:r>
        <w:rPr>
          <w:i/>
          <w:iCs/>
        </w:rPr>
        <w:lastRenderedPageBreak/>
        <w:t> </w:t>
      </w:r>
    </w:p>
    <w:p w14:paraId="76AA49C3" w14:textId="0C443177" w:rsidR="00A17BED" w:rsidRDefault="00A17BED" w:rsidP="000E7B97">
      <w:pPr>
        <w:jc w:val="both"/>
      </w:pPr>
      <w:r>
        <w:t>5. By para</w:t>
      </w:r>
      <w:r w:rsidR="00500DE9">
        <w:t>graph</w:t>
      </w:r>
      <w:r>
        <w:t xml:space="preserve"> 7(5) of Sched A1 to the 2000 Act:-</w:t>
      </w:r>
    </w:p>
    <w:p w14:paraId="7DDCBC04" w14:textId="77777777" w:rsidR="00A17BED" w:rsidRDefault="00A17BED" w:rsidP="000E7B97">
      <w:pPr>
        <w:jc w:val="both"/>
      </w:pPr>
      <w:r>
        <w:t> </w:t>
      </w:r>
    </w:p>
    <w:p w14:paraId="1825E12A" w14:textId="77777777" w:rsidR="00A17BED" w:rsidRDefault="00A17BED" w:rsidP="000E7B97">
      <w:pPr>
        <w:ind w:left="720"/>
        <w:jc w:val="both"/>
      </w:pPr>
      <w:r>
        <w:rPr>
          <w:i/>
          <w:iCs/>
        </w:rPr>
        <w:t>(5)     A member of an overview and scrutiny committee or sub-committee appointed by virtue of sub-paragraph (1) or (3) is to be entitled to vote at a meeting of the committee or sub-committee on any question—</w:t>
      </w:r>
    </w:p>
    <w:p w14:paraId="003BB78B" w14:textId="77777777" w:rsidR="00A17BED" w:rsidRDefault="00A17BED" w:rsidP="000E7B97">
      <w:pPr>
        <w:ind w:left="720"/>
        <w:jc w:val="both"/>
      </w:pPr>
      <w:r>
        <w:rPr>
          <w:i/>
          <w:iCs/>
        </w:rPr>
        <w:t> </w:t>
      </w:r>
    </w:p>
    <w:p w14:paraId="0DFCF437" w14:textId="77777777" w:rsidR="00A17BED" w:rsidRDefault="00A17BED" w:rsidP="000E7B97">
      <w:pPr>
        <w:ind w:left="1440"/>
        <w:jc w:val="both"/>
      </w:pPr>
      <w:r>
        <w:rPr>
          <w:i/>
          <w:iCs/>
        </w:rPr>
        <w:t xml:space="preserve">(a)     </w:t>
      </w:r>
      <w:r w:rsidRPr="00D94D33">
        <w:rPr>
          <w:i/>
          <w:iCs/>
        </w:rPr>
        <w:t>which relates to any education functions which are the responsibility of the authority concerned's executive, and</w:t>
      </w:r>
    </w:p>
    <w:p w14:paraId="3C31959C" w14:textId="77777777" w:rsidR="00A17BED" w:rsidRDefault="00A17BED" w:rsidP="000E7B97">
      <w:pPr>
        <w:ind w:left="1440"/>
        <w:jc w:val="both"/>
      </w:pPr>
      <w:r>
        <w:rPr>
          <w:i/>
          <w:iCs/>
        </w:rPr>
        <w:t> </w:t>
      </w:r>
    </w:p>
    <w:p w14:paraId="55454949" w14:textId="77777777" w:rsidR="00A17BED" w:rsidRDefault="00A17BED" w:rsidP="000E7B97">
      <w:pPr>
        <w:ind w:left="1440"/>
        <w:jc w:val="both"/>
      </w:pPr>
      <w:r>
        <w:rPr>
          <w:i/>
          <w:iCs/>
        </w:rPr>
        <w:t>(b)     which falls to be decided at the meeting.</w:t>
      </w:r>
    </w:p>
    <w:p w14:paraId="5E1949BD" w14:textId="77777777" w:rsidR="00A17BED" w:rsidRDefault="00A17BED" w:rsidP="000E7B97">
      <w:pPr>
        <w:jc w:val="both"/>
      </w:pPr>
      <w:r>
        <w:t> </w:t>
      </w:r>
    </w:p>
    <w:p w14:paraId="0B2EB7CC" w14:textId="07407E34" w:rsidR="00A17BED" w:rsidRPr="00D94D33" w:rsidRDefault="00A17BED" w:rsidP="000E7B97">
      <w:pPr>
        <w:jc w:val="both"/>
      </w:pPr>
      <w:r>
        <w:t>6. Since the sub</w:t>
      </w:r>
      <w:r w:rsidR="009F2038">
        <w:t>-</w:t>
      </w:r>
      <w:r>
        <w:t>committee deals purely with education issues, it follows that the holders of these seats can vote on the entirety of the sub</w:t>
      </w:r>
      <w:r w:rsidR="009A7B83">
        <w:t>-</w:t>
      </w:r>
      <w:r>
        <w:t>committee’s business. That in turn means that they can vote on “any question” before the sub</w:t>
      </w:r>
      <w:r w:rsidR="009A7B83">
        <w:t>-</w:t>
      </w:r>
      <w:r>
        <w:t xml:space="preserve">committee and therefore they have a “seat” for the purposes of the definition in Sched 1 to the LGHA. That in turn means that those seats count for the purposes of s 15(5) and the </w:t>
      </w:r>
      <w:r w:rsidR="007F0E42">
        <w:t xml:space="preserve">majority </w:t>
      </w:r>
      <w:r w:rsidR="009F2038">
        <w:t>group have</w:t>
      </w:r>
      <w:r>
        <w:t xml:space="preserve"> a right to a majority of </w:t>
      </w:r>
      <w:r w:rsidRPr="00D94D33">
        <w:t>seats including the ones filled by the people appointed under Sched A</w:t>
      </w:r>
      <w:r w:rsidR="007F0E42" w:rsidRPr="00D94D33">
        <w:t>.</w:t>
      </w:r>
      <w:r w:rsidRPr="00D94D33">
        <w:t xml:space="preserve"> -   unless there is an exception elsewhere in the legislation.  </w:t>
      </w:r>
    </w:p>
    <w:p w14:paraId="1A4DC250" w14:textId="77777777" w:rsidR="00A17BED" w:rsidRDefault="00A17BED" w:rsidP="000E7B97">
      <w:pPr>
        <w:jc w:val="both"/>
      </w:pPr>
      <w:r>
        <w:t> </w:t>
      </w:r>
    </w:p>
    <w:p w14:paraId="34242931" w14:textId="5192EB19" w:rsidR="00A17BED" w:rsidRDefault="00A17BED" w:rsidP="000E7B97">
      <w:pPr>
        <w:jc w:val="both"/>
      </w:pPr>
      <w:r>
        <w:t xml:space="preserve">15(6) </w:t>
      </w:r>
      <w:r w:rsidR="001352DD">
        <w:t>reads as follows</w:t>
      </w:r>
      <w:r>
        <w:t>:-</w:t>
      </w:r>
    </w:p>
    <w:p w14:paraId="6A4D0421" w14:textId="77777777" w:rsidR="00A17BED" w:rsidRDefault="00A17BED" w:rsidP="000E7B97">
      <w:pPr>
        <w:jc w:val="both"/>
      </w:pPr>
      <w:r>
        <w:t> </w:t>
      </w:r>
    </w:p>
    <w:p w14:paraId="27A46332" w14:textId="77777777" w:rsidR="00A17BED" w:rsidRDefault="00A17BED" w:rsidP="000E7B97">
      <w:pPr>
        <w:ind w:left="720"/>
        <w:jc w:val="both"/>
      </w:pPr>
      <w:r>
        <w:rPr>
          <w:i/>
          <w:iCs/>
        </w:rPr>
        <w:t>(6)     Where any relevant authority or committee of a relevant authority are required, in determining the allocation to different political groups of seats on a body to which this section applies, to give effect to the principles specified in subsection (5) above—</w:t>
      </w:r>
    </w:p>
    <w:p w14:paraId="687E3CA5" w14:textId="77777777" w:rsidR="00A17BED" w:rsidRDefault="00A17BED" w:rsidP="000E7B97">
      <w:pPr>
        <w:ind w:left="720"/>
        <w:jc w:val="both"/>
      </w:pPr>
      <w:r>
        <w:rPr>
          <w:i/>
          <w:iCs/>
        </w:rPr>
        <w:t> </w:t>
      </w:r>
    </w:p>
    <w:p w14:paraId="4DE96AB8" w14:textId="77777777" w:rsidR="00A17BED" w:rsidRDefault="00A17BED" w:rsidP="000E7B97">
      <w:pPr>
        <w:ind w:left="1440"/>
        <w:jc w:val="both"/>
      </w:pPr>
      <w:r>
        <w:rPr>
          <w:i/>
          <w:iCs/>
        </w:rPr>
        <w:t>(a)     any seats which, in accordance—</w:t>
      </w:r>
    </w:p>
    <w:p w14:paraId="0EAFFA73" w14:textId="77777777" w:rsidR="00A17BED" w:rsidRDefault="00A17BED" w:rsidP="000E7B97">
      <w:pPr>
        <w:ind w:left="1440"/>
        <w:jc w:val="both"/>
      </w:pPr>
      <w:r>
        <w:rPr>
          <w:i/>
          <w:iCs/>
        </w:rPr>
        <w:t> </w:t>
      </w:r>
    </w:p>
    <w:p w14:paraId="1027CCF2" w14:textId="77777777" w:rsidR="00A17BED" w:rsidRDefault="00A17BED" w:rsidP="000E7B97">
      <w:pPr>
        <w:ind w:left="2160"/>
        <w:jc w:val="both"/>
      </w:pPr>
      <w:r>
        <w:rPr>
          <w:i/>
          <w:iCs/>
        </w:rPr>
        <w:t>(i)     with provision made by virtue of subsection (5) of section 13 above; or</w:t>
      </w:r>
    </w:p>
    <w:p w14:paraId="61EE181C" w14:textId="77777777" w:rsidR="00A17BED" w:rsidRDefault="00A17BED" w:rsidP="000E7B97">
      <w:pPr>
        <w:ind w:left="2160"/>
        <w:jc w:val="both"/>
      </w:pPr>
      <w:r>
        <w:rPr>
          <w:i/>
          <w:iCs/>
        </w:rPr>
        <w:t> </w:t>
      </w:r>
    </w:p>
    <w:p w14:paraId="061FCCDB" w14:textId="77777777" w:rsidR="00A17BED" w:rsidRDefault="00A17BED" w:rsidP="000E7B97">
      <w:pPr>
        <w:ind w:left="2160"/>
        <w:jc w:val="both"/>
      </w:pPr>
      <w:r>
        <w:rPr>
          <w:i/>
          <w:iCs/>
        </w:rPr>
        <w:t>(ii)     with subsection (6) of section 14 above,</w:t>
      </w:r>
    </w:p>
    <w:p w14:paraId="0D02A981" w14:textId="77777777" w:rsidR="00A17BED" w:rsidRDefault="00A17BED" w:rsidP="000E7B97">
      <w:pPr>
        <w:ind w:left="720"/>
        <w:jc w:val="both"/>
      </w:pPr>
      <w:r>
        <w:rPr>
          <w:i/>
          <w:iCs/>
        </w:rPr>
        <w:t> </w:t>
      </w:r>
    </w:p>
    <w:p w14:paraId="09520EA4" w14:textId="0B92461A" w:rsidR="00A17BED" w:rsidRDefault="00A17BED" w:rsidP="000E7B97">
      <w:pPr>
        <w:ind w:left="720"/>
        <w:jc w:val="both"/>
      </w:pPr>
      <w:r w:rsidRPr="00D94D33">
        <w:rPr>
          <w:i/>
          <w:iCs/>
        </w:rPr>
        <w:t>are to be or may be filled by the appointment of persons who are not members of the authority shall be taken into account for the purpose of determining how many seats constitute a majority</w:t>
      </w:r>
      <w:r>
        <w:rPr>
          <w:i/>
          <w:iCs/>
        </w:rPr>
        <w:t xml:space="preserve"> of the seats on a body mentioned in either of those subsections; </w:t>
      </w:r>
    </w:p>
    <w:p w14:paraId="2C084D78" w14:textId="77777777" w:rsidR="00A17BED" w:rsidRDefault="00A17BED" w:rsidP="000E7B97">
      <w:pPr>
        <w:jc w:val="both"/>
      </w:pPr>
      <w:r>
        <w:t> </w:t>
      </w:r>
    </w:p>
    <w:p w14:paraId="41BB405D" w14:textId="77777777" w:rsidR="002A2389" w:rsidRDefault="002A2389" w:rsidP="000E7B97">
      <w:pPr>
        <w:pStyle w:val="Heading2"/>
        <w:spacing w:after="240"/>
        <w:jc w:val="both"/>
      </w:pPr>
      <w:r>
        <w:t>Financial Implications</w:t>
      </w:r>
    </w:p>
    <w:p w14:paraId="750BA539" w14:textId="57A6B752" w:rsidR="002A2389" w:rsidRDefault="0047316F" w:rsidP="000E7B97">
      <w:pPr>
        <w:jc w:val="both"/>
        <w:rPr>
          <w:rFonts w:cs="Arial"/>
        </w:rPr>
      </w:pPr>
      <w:r>
        <w:t>There are no financial implications associated with this decision.</w:t>
      </w:r>
    </w:p>
    <w:p w14:paraId="5ACE80EE" w14:textId="77777777" w:rsidR="00C32DAE" w:rsidRPr="003D2FFE" w:rsidRDefault="00C32DAE" w:rsidP="000E7B97">
      <w:pPr>
        <w:pStyle w:val="Heading2"/>
        <w:spacing w:after="240"/>
        <w:jc w:val="both"/>
      </w:pPr>
      <w:r>
        <w:t>Risk Management Implications</w:t>
      </w:r>
    </w:p>
    <w:p w14:paraId="0866EC0D" w14:textId="6076E878" w:rsidR="004A4A1D" w:rsidRPr="00105B8A" w:rsidRDefault="004A4A1D" w:rsidP="000E7B97">
      <w:pPr>
        <w:tabs>
          <w:tab w:val="left" w:pos="5610"/>
        </w:tabs>
        <w:ind w:right="81"/>
        <w:jc w:val="both"/>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6F7A7108" w14:textId="77777777" w:rsidR="004A4A1D" w:rsidRDefault="004A4A1D" w:rsidP="000E7B97">
      <w:pPr>
        <w:ind w:left="-142" w:right="141"/>
        <w:jc w:val="both"/>
        <w:rPr>
          <w:rFonts w:cs="Arial"/>
          <w:szCs w:val="24"/>
          <w:lang w:val="en-US" w:eastAsia="en-GB"/>
        </w:rPr>
      </w:pPr>
      <w:r>
        <w:rPr>
          <w:rFonts w:cs="Arial"/>
          <w:szCs w:val="24"/>
          <w:lang w:val="en-US" w:eastAsia="en-GB"/>
        </w:rPr>
        <w:t xml:space="preserve">  </w:t>
      </w:r>
    </w:p>
    <w:p w14:paraId="474F3698" w14:textId="2F70724D" w:rsidR="004A4A1D" w:rsidRDefault="004A4A1D" w:rsidP="000E7B97">
      <w:pPr>
        <w:ind w:left="-142" w:right="141" w:firstLine="142"/>
        <w:jc w:val="both"/>
        <w:rPr>
          <w:rFonts w:cs="Arial"/>
          <w:color w:val="4F81BD" w:themeColor="accent1"/>
          <w:szCs w:val="24"/>
          <w:lang w:val="en-US" w:eastAsia="en-GB"/>
        </w:rPr>
      </w:pPr>
      <w:r>
        <w:rPr>
          <w:rFonts w:cs="Arial"/>
          <w:szCs w:val="24"/>
          <w:lang w:val="en-US" w:eastAsia="en-GB"/>
        </w:rPr>
        <w:lastRenderedPageBreak/>
        <w:t xml:space="preserve">Separate risk register in place? </w:t>
      </w:r>
      <w:r>
        <w:rPr>
          <w:rFonts w:cs="Arial"/>
          <w:b/>
          <w:bCs/>
          <w:szCs w:val="24"/>
          <w:lang w:val="en-US" w:eastAsia="en-GB"/>
        </w:rPr>
        <w:t>No</w:t>
      </w:r>
      <w:r>
        <w:rPr>
          <w:rFonts w:cs="Arial"/>
          <w:szCs w:val="24"/>
          <w:lang w:val="en-US" w:eastAsia="en-GB"/>
        </w:rPr>
        <w:t xml:space="preserve"> </w:t>
      </w:r>
    </w:p>
    <w:p w14:paraId="44EE3445" w14:textId="77777777" w:rsidR="004A4A1D" w:rsidRDefault="004A4A1D" w:rsidP="000E7B97">
      <w:pPr>
        <w:tabs>
          <w:tab w:val="left" w:pos="5610"/>
        </w:tabs>
        <w:ind w:left="567" w:right="81" w:hanging="567"/>
        <w:jc w:val="both"/>
      </w:pPr>
    </w:p>
    <w:p w14:paraId="015806C0" w14:textId="13146F76" w:rsidR="004A4A1D" w:rsidRDefault="004A4A1D" w:rsidP="000E7B97">
      <w:pPr>
        <w:tabs>
          <w:tab w:val="left" w:pos="5610"/>
        </w:tabs>
        <w:ind w:right="81"/>
        <w:jc w:val="both"/>
      </w:pPr>
      <w:r>
        <w:t xml:space="preserve">The relevant risks contained in the register are attached/summarised below. </w:t>
      </w:r>
      <w:r w:rsidR="00115BCF">
        <w:rPr>
          <w:rFonts w:cs="Arial"/>
          <w:b/>
          <w:bCs/>
          <w:szCs w:val="24"/>
          <w:lang w:val="en-US" w:eastAsia="en-GB"/>
        </w:rPr>
        <w:t>N</w:t>
      </w:r>
      <w:r>
        <w:rPr>
          <w:rFonts w:cs="Arial"/>
          <w:b/>
          <w:bCs/>
          <w:szCs w:val="24"/>
          <w:lang w:val="en-US" w:eastAsia="en-GB"/>
        </w:rPr>
        <w:t>/</w:t>
      </w:r>
      <w:r w:rsidR="00115BCF">
        <w:rPr>
          <w:rFonts w:cs="Arial"/>
          <w:b/>
          <w:bCs/>
          <w:szCs w:val="24"/>
          <w:lang w:val="en-US" w:eastAsia="en-GB"/>
        </w:rPr>
        <w:t>A</w:t>
      </w:r>
    </w:p>
    <w:p w14:paraId="29079266" w14:textId="77777777" w:rsidR="004A4A1D" w:rsidRDefault="004A4A1D" w:rsidP="000E7B97">
      <w:pPr>
        <w:jc w:val="both"/>
      </w:pPr>
    </w:p>
    <w:p w14:paraId="228811B3" w14:textId="77777777" w:rsidR="004A4A1D" w:rsidRDefault="004A4A1D" w:rsidP="000E7B97">
      <w:pPr>
        <w:jc w:val="both"/>
      </w:pPr>
      <w:r>
        <w:t>The following key risks should be taken into account when agreeing the recommendations in this report:</w:t>
      </w:r>
    </w:p>
    <w:p w14:paraId="591BB94F" w14:textId="77777777" w:rsidR="004A4A1D" w:rsidRDefault="004A4A1D" w:rsidP="000E7B97">
      <w:pPr>
        <w:ind w:left="567" w:right="141" w:hanging="567"/>
        <w:jc w:val="both"/>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2D2FC5" w14:paraId="40B928E5"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7D481" w14:textId="77777777" w:rsidR="002D2FC5" w:rsidRDefault="002D2FC5" w:rsidP="000E7B97">
            <w:pPr>
              <w:spacing w:line="247" w:lineRule="auto"/>
              <w:ind w:right="141"/>
              <w:jc w:val="both"/>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03D31" w14:textId="77777777" w:rsidR="002D2FC5" w:rsidRDefault="002D2FC5" w:rsidP="000E7B97">
            <w:pPr>
              <w:spacing w:line="247" w:lineRule="auto"/>
              <w:ind w:right="141"/>
              <w:jc w:val="both"/>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4B862F5" w14:textId="77777777" w:rsidR="002D2FC5" w:rsidRDefault="002D2FC5" w:rsidP="000E7B97">
            <w:pPr>
              <w:spacing w:line="247" w:lineRule="auto"/>
              <w:ind w:left="171" w:right="141"/>
              <w:jc w:val="both"/>
              <w:rPr>
                <w:rFonts w:cs="Arial"/>
                <w:b/>
                <w:bCs/>
                <w:szCs w:val="24"/>
                <w:lang w:val="en-US" w:eastAsia="en-GB"/>
              </w:rPr>
            </w:pPr>
            <w:r>
              <w:rPr>
                <w:rFonts w:cs="Arial"/>
                <w:b/>
                <w:bCs/>
                <w:szCs w:val="24"/>
                <w:lang w:val="en-US" w:eastAsia="en-GB"/>
              </w:rPr>
              <w:t>RAG Status</w:t>
            </w:r>
          </w:p>
        </w:tc>
      </w:tr>
      <w:tr w:rsidR="002D2FC5" w14:paraId="724D9F86" w14:textId="77777777" w:rsidTr="00CB687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E136A" w14:textId="77777777" w:rsidR="002D2FC5" w:rsidRDefault="00115BCF" w:rsidP="000E7B97">
            <w:pPr>
              <w:spacing w:line="247" w:lineRule="auto"/>
              <w:ind w:right="141"/>
              <w:jc w:val="both"/>
              <w:rPr>
                <w:rFonts w:cs="Arial"/>
                <w:szCs w:val="24"/>
                <w:lang w:val="en-US" w:eastAsia="en-GB"/>
              </w:rPr>
            </w:pPr>
            <w:r>
              <w:rPr>
                <w:rFonts w:cs="Arial"/>
                <w:szCs w:val="24"/>
                <w:lang w:val="en-US" w:eastAsia="en-GB"/>
              </w:rPr>
              <w:t>Call-</w:t>
            </w:r>
            <w:r w:rsidR="006F73B4">
              <w:rPr>
                <w:rFonts w:cs="Arial"/>
                <w:szCs w:val="24"/>
                <w:lang w:val="en-US" w:eastAsia="en-GB"/>
              </w:rPr>
              <w:t>In (Education) Sub-Committee meetings held without</w:t>
            </w:r>
            <w:r w:rsidR="0099782B">
              <w:rPr>
                <w:rFonts w:cs="Arial"/>
                <w:szCs w:val="24"/>
                <w:lang w:val="en-US" w:eastAsia="en-GB"/>
              </w:rPr>
              <w:t xml:space="preserve"> the correct proportionality and not adhering to the requirements of the Local Government and Housing Act 1989</w:t>
            </w:r>
          </w:p>
          <w:p w14:paraId="1A62B581" w14:textId="7813F1BF" w:rsidR="0099782B" w:rsidRDefault="0099782B" w:rsidP="000E7B97">
            <w:pPr>
              <w:spacing w:line="247" w:lineRule="auto"/>
              <w:ind w:right="141"/>
              <w:jc w:val="both"/>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9E74F" w14:textId="6872B19B" w:rsidR="002D2FC5" w:rsidRDefault="000606BC" w:rsidP="000E7B97">
            <w:pPr>
              <w:pStyle w:val="ListParagraph"/>
              <w:numPr>
                <w:ilvl w:val="0"/>
                <w:numId w:val="15"/>
              </w:numPr>
              <w:suppressAutoHyphens/>
              <w:autoSpaceDN w:val="0"/>
              <w:spacing w:line="247" w:lineRule="auto"/>
              <w:ind w:left="171" w:right="141" w:hanging="171"/>
              <w:jc w:val="both"/>
              <w:rPr>
                <w:szCs w:val="24"/>
                <w:lang w:val="en-US"/>
              </w:rPr>
            </w:pPr>
            <w:r>
              <w:rPr>
                <w:szCs w:val="24"/>
                <w:lang w:val="en-US"/>
              </w:rPr>
              <w:t>Requesting the Overview and Scrutiny Committee to amend</w:t>
            </w:r>
            <w:r w:rsidR="00E71B51">
              <w:rPr>
                <w:szCs w:val="24"/>
                <w:lang w:val="en-US"/>
              </w:rPr>
              <w:t xml:space="preserve"> its membership list to ensure compliance with the legislation.</w:t>
            </w:r>
          </w:p>
          <w:p w14:paraId="5D8BAC8C" w14:textId="77777777" w:rsidR="002D2FC5" w:rsidRDefault="002D2FC5" w:rsidP="000E7B97">
            <w:pPr>
              <w:pStyle w:val="ListParagraph"/>
              <w:suppressAutoHyphens/>
              <w:autoSpaceDN w:val="0"/>
              <w:spacing w:line="247" w:lineRule="auto"/>
              <w:ind w:left="171" w:right="141"/>
              <w:jc w:val="both"/>
              <w:rPr>
                <w:szCs w:val="24"/>
                <w:lang w:val="en-US"/>
              </w:rPr>
            </w:pPr>
          </w:p>
          <w:p w14:paraId="52675172" w14:textId="77777777" w:rsidR="002D2FC5" w:rsidRDefault="002D2FC5" w:rsidP="000E7B97">
            <w:pPr>
              <w:pStyle w:val="ListParagraph"/>
              <w:suppressAutoHyphens/>
              <w:autoSpaceDN w:val="0"/>
              <w:spacing w:line="247" w:lineRule="auto"/>
              <w:ind w:left="171" w:right="141"/>
              <w:jc w:val="both"/>
              <w:rPr>
                <w:szCs w:val="24"/>
                <w:lang w:val="en-US"/>
              </w:rPr>
            </w:pPr>
          </w:p>
        </w:tc>
        <w:tc>
          <w:tcPr>
            <w:tcW w:w="2070" w:type="dxa"/>
            <w:tcBorders>
              <w:top w:val="single" w:sz="4" w:space="0" w:color="000000"/>
              <w:left w:val="single" w:sz="4" w:space="0" w:color="000000"/>
              <w:bottom w:val="single" w:sz="4" w:space="0" w:color="000000"/>
              <w:right w:val="single" w:sz="4" w:space="0" w:color="000000"/>
            </w:tcBorders>
            <w:hideMark/>
          </w:tcPr>
          <w:p w14:paraId="31C1C920" w14:textId="77777777" w:rsidR="002D2FC5" w:rsidRDefault="002D2FC5" w:rsidP="000E7B97">
            <w:pPr>
              <w:spacing w:line="247" w:lineRule="auto"/>
              <w:ind w:left="171" w:right="141"/>
              <w:jc w:val="both"/>
              <w:rPr>
                <w:rFonts w:cs="Arial"/>
                <w:szCs w:val="24"/>
                <w:lang w:val="en-US" w:eastAsia="en-GB"/>
              </w:rPr>
            </w:pPr>
            <w:r>
              <w:rPr>
                <w:rFonts w:cs="Arial"/>
                <w:szCs w:val="24"/>
                <w:lang w:val="en-US" w:eastAsia="en-GB"/>
              </w:rPr>
              <w:t>Green</w:t>
            </w:r>
          </w:p>
        </w:tc>
      </w:tr>
    </w:tbl>
    <w:p w14:paraId="44D33D1F" w14:textId="77777777" w:rsidR="00FD31A0" w:rsidRDefault="00FD31A0" w:rsidP="000E7B97">
      <w:pPr>
        <w:pStyle w:val="Heading2"/>
        <w:keepNext/>
        <w:spacing w:after="240"/>
        <w:jc w:val="both"/>
      </w:pPr>
      <w:r w:rsidRPr="004A2543">
        <w:t>Equalities implications</w:t>
      </w:r>
      <w:r w:rsidR="00213BE7">
        <w:t xml:space="preserve"> / Public Sector Equality Duty </w:t>
      </w:r>
    </w:p>
    <w:p w14:paraId="76DCB596" w14:textId="1B9DE272" w:rsidR="00FD31A0" w:rsidRPr="004A2543" w:rsidRDefault="00FD31A0" w:rsidP="000E7B97">
      <w:pPr>
        <w:jc w:val="both"/>
      </w:pPr>
      <w:r w:rsidRPr="004A2543">
        <w:t xml:space="preserve">Was an Equality Impact Assessment carried out?  </w:t>
      </w:r>
      <w:r>
        <w:t>No</w:t>
      </w:r>
      <w:r w:rsidR="00B920CE">
        <w:t xml:space="preserve"> as the recommendation relates to ensuring compliance with existing legislation.</w:t>
      </w:r>
    </w:p>
    <w:p w14:paraId="666B7771" w14:textId="77777777" w:rsidR="00CC02E2" w:rsidRPr="00EC6FE9" w:rsidRDefault="00CC02E2" w:rsidP="000E7B97">
      <w:pPr>
        <w:pStyle w:val="Heading4"/>
        <w:spacing w:before="480"/>
        <w:jc w:val="both"/>
      </w:pPr>
      <w:r w:rsidRPr="00EC6FE9">
        <w:t>Council Priorities</w:t>
      </w:r>
    </w:p>
    <w:p w14:paraId="3E4430A7" w14:textId="4D51172A" w:rsidR="00CC02E2" w:rsidRPr="00752110" w:rsidRDefault="0053187C" w:rsidP="000E7B97">
      <w:pPr>
        <w:jc w:val="both"/>
      </w:pPr>
      <w:r>
        <w:rPr>
          <w:rFonts w:cs="Arial"/>
          <w:szCs w:val="24"/>
          <w:lang w:val="en-US"/>
        </w:rPr>
        <w:t>A properly constituted Call-In (Education) Sub</w:t>
      </w:r>
      <w:r w:rsidR="009A7B83">
        <w:rPr>
          <w:rFonts w:cs="Arial"/>
          <w:szCs w:val="24"/>
          <w:lang w:val="en-US"/>
        </w:rPr>
        <w:t>-</w:t>
      </w:r>
      <w:r>
        <w:rPr>
          <w:rFonts w:cs="Arial"/>
          <w:szCs w:val="24"/>
          <w:lang w:val="en-US"/>
        </w:rPr>
        <w:t>Committee will allow it to consider executive decisions made in relation to education matters</w:t>
      </w:r>
      <w:r w:rsidR="00473F32">
        <w:rPr>
          <w:rFonts w:cs="Arial"/>
          <w:szCs w:val="24"/>
          <w:lang w:val="en-US"/>
        </w:rPr>
        <w:t>, which contribute towards a</w:t>
      </w:r>
      <w:r w:rsidR="00CC02E2" w:rsidRPr="00752110">
        <w:t xml:space="preserve"> council that puts residents first</w:t>
      </w:r>
      <w:r w:rsidR="00473F32">
        <w:t xml:space="preserve"> and a</w:t>
      </w:r>
      <w:r w:rsidR="00CC02E2" w:rsidRPr="00752110">
        <w:t xml:space="preserve"> place where those in need are supported</w:t>
      </w:r>
    </w:p>
    <w:p w14:paraId="11BF41CC" w14:textId="77777777" w:rsidR="002A2389" w:rsidRDefault="002A2389" w:rsidP="000E7B97">
      <w:pPr>
        <w:pStyle w:val="Heading2"/>
        <w:jc w:val="both"/>
      </w:pPr>
      <w:r>
        <w:t>Section 3 - Statutory Officer Clearance</w:t>
      </w:r>
    </w:p>
    <w:p w14:paraId="077143F8" w14:textId="77777777" w:rsidR="002A2389" w:rsidRDefault="002A2389" w:rsidP="000E7B97">
      <w:pPr>
        <w:keepNext/>
        <w:jc w:val="both"/>
        <w:rPr>
          <w:rFonts w:cs="Arial"/>
        </w:rPr>
      </w:pPr>
    </w:p>
    <w:p w14:paraId="1F493ADE" w14:textId="10E70351" w:rsidR="00912904" w:rsidRPr="00A66326" w:rsidRDefault="00912904" w:rsidP="000E7B97">
      <w:pPr>
        <w:jc w:val="both"/>
        <w:rPr>
          <w:sz w:val="28"/>
        </w:rPr>
      </w:pPr>
      <w:r w:rsidRPr="00A66326">
        <w:rPr>
          <w:b/>
          <w:sz w:val="28"/>
        </w:rPr>
        <w:t xml:space="preserve">Statutory Officer:  </w:t>
      </w:r>
      <w:r w:rsidR="008A7858">
        <w:rPr>
          <w:b/>
          <w:sz w:val="28"/>
        </w:rPr>
        <w:t>Sharon Daniels</w:t>
      </w:r>
    </w:p>
    <w:p w14:paraId="57640BD9" w14:textId="081129B2" w:rsidR="00912904" w:rsidRPr="00A66326" w:rsidRDefault="00912904" w:rsidP="000E7B97">
      <w:pPr>
        <w:jc w:val="both"/>
      </w:pPr>
      <w:r w:rsidRPr="00A66326">
        <w:t>Signed on *behalf of</w:t>
      </w:r>
      <w:r w:rsidR="008A7858">
        <w:t xml:space="preserve"> the</w:t>
      </w:r>
      <w:r w:rsidRPr="00A66326">
        <w:t xml:space="preserve"> Chief Financial Officer</w:t>
      </w:r>
    </w:p>
    <w:p w14:paraId="5745A2E3" w14:textId="4B797092" w:rsidR="00912904" w:rsidRPr="00A66326" w:rsidRDefault="00912904" w:rsidP="000E7B97">
      <w:pPr>
        <w:spacing w:after="480"/>
        <w:jc w:val="both"/>
        <w:rPr>
          <w:sz w:val="28"/>
        </w:rPr>
      </w:pPr>
      <w:r w:rsidRPr="00A66326">
        <w:rPr>
          <w:b/>
          <w:sz w:val="28"/>
        </w:rPr>
        <w:t xml:space="preserve">Date:  </w:t>
      </w:r>
      <w:r w:rsidR="00446AA3">
        <w:rPr>
          <w:b/>
          <w:sz w:val="28"/>
        </w:rPr>
        <w:t>25 May 2023</w:t>
      </w:r>
    </w:p>
    <w:p w14:paraId="2586CC50" w14:textId="3FA9900C" w:rsidR="00912904" w:rsidRPr="00A66326" w:rsidRDefault="00912904" w:rsidP="000E7B97">
      <w:pPr>
        <w:jc w:val="both"/>
        <w:rPr>
          <w:sz w:val="28"/>
        </w:rPr>
      </w:pPr>
      <w:r w:rsidRPr="00A66326">
        <w:rPr>
          <w:b/>
          <w:sz w:val="28"/>
        </w:rPr>
        <w:t xml:space="preserve">Statutory Officer:  </w:t>
      </w:r>
      <w:r w:rsidR="005E11BB">
        <w:rPr>
          <w:b/>
          <w:sz w:val="28"/>
        </w:rPr>
        <w:t>Jessica Farmer</w:t>
      </w:r>
    </w:p>
    <w:p w14:paraId="3F58D77A" w14:textId="5F6BCCCE" w:rsidR="00912904" w:rsidRPr="00A66326" w:rsidRDefault="00912904" w:rsidP="000E7B97">
      <w:pPr>
        <w:jc w:val="both"/>
      </w:pPr>
      <w:r w:rsidRPr="00A66326">
        <w:t>Signed by the Monitoring Officer</w:t>
      </w:r>
    </w:p>
    <w:p w14:paraId="61F8C7E6" w14:textId="07C11CC9" w:rsidR="00912904" w:rsidRDefault="00912904" w:rsidP="000E7B97">
      <w:pPr>
        <w:spacing w:after="480"/>
        <w:jc w:val="both"/>
        <w:rPr>
          <w:b/>
          <w:sz w:val="28"/>
        </w:rPr>
      </w:pPr>
      <w:r w:rsidRPr="00A66326">
        <w:rPr>
          <w:b/>
          <w:sz w:val="28"/>
        </w:rPr>
        <w:t xml:space="preserve">Date:  </w:t>
      </w:r>
      <w:r w:rsidR="005E11BB">
        <w:rPr>
          <w:b/>
          <w:sz w:val="28"/>
        </w:rPr>
        <w:t>26 May 2023</w:t>
      </w:r>
    </w:p>
    <w:p w14:paraId="0A1C0C36" w14:textId="77777777" w:rsidR="003C0090" w:rsidRDefault="003C0090" w:rsidP="000E7B97">
      <w:pPr>
        <w:pStyle w:val="Heading2"/>
        <w:spacing w:after="240"/>
        <w:jc w:val="both"/>
      </w:pPr>
    </w:p>
    <w:p w14:paraId="686CE5D8" w14:textId="6F7F84F1" w:rsidR="00912904" w:rsidRPr="00435B5D" w:rsidRDefault="00912904" w:rsidP="000E7B97">
      <w:pPr>
        <w:pStyle w:val="Heading2"/>
        <w:spacing w:after="240"/>
        <w:jc w:val="both"/>
      </w:pPr>
      <w:r>
        <w:lastRenderedPageBreak/>
        <w:t>Mandatory Checks</w:t>
      </w:r>
    </w:p>
    <w:p w14:paraId="34BA8136" w14:textId="0A2F79CE" w:rsidR="00912904" w:rsidRPr="00E90AFF" w:rsidRDefault="00912904" w:rsidP="000E7B97">
      <w:pPr>
        <w:pStyle w:val="Heading3"/>
        <w:ind w:left="0" w:firstLine="0"/>
        <w:rPr>
          <w:sz w:val="28"/>
        </w:rPr>
      </w:pPr>
      <w:r w:rsidRPr="00E90AFF">
        <w:rPr>
          <w:sz w:val="28"/>
        </w:rPr>
        <w:t xml:space="preserve">Ward Councillors notified:  </w:t>
      </w:r>
      <w:r w:rsidR="002F2FCB">
        <w:rPr>
          <w:sz w:val="28"/>
        </w:rPr>
        <w:t>N/A</w:t>
      </w:r>
      <w:r w:rsidRPr="00E90AFF">
        <w:rPr>
          <w:sz w:val="28"/>
        </w:rPr>
        <w:t xml:space="preserve"> </w:t>
      </w:r>
    </w:p>
    <w:p w14:paraId="629F8205" w14:textId="77777777" w:rsidR="002A2389" w:rsidRDefault="002A2389" w:rsidP="000E7B97">
      <w:pPr>
        <w:pStyle w:val="Heading2"/>
        <w:keepNext/>
        <w:spacing w:after="240"/>
        <w:jc w:val="both"/>
      </w:pPr>
      <w:r>
        <w:t>Section 4 - Contact Details and Background Papers</w:t>
      </w:r>
    </w:p>
    <w:p w14:paraId="1C4BF2D4" w14:textId="2F845A45" w:rsidR="002A2389" w:rsidRDefault="002A2389" w:rsidP="000E7B97">
      <w:pPr>
        <w:pStyle w:val="Infotext"/>
        <w:jc w:val="both"/>
      </w:pPr>
      <w:r w:rsidRPr="00D914D2">
        <w:rPr>
          <w:b/>
        </w:rPr>
        <w:t>Contact:</w:t>
      </w:r>
      <w:r>
        <w:t xml:space="preserve">  </w:t>
      </w:r>
      <w:r w:rsidR="002F2FCB">
        <w:rPr>
          <w:rFonts w:cs="Arial"/>
          <w:sz w:val="24"/>
        </w:rPr>
        <w:t>Vishal Seegoolam</w:t>
      </w:r>
      <w:r>
        <w:rPr>
          <w:rFonts w:cs="Arial"/>
          <w:sz w:val="24"/>
        </w:rPr>
        <w:t xml:space="preserve">, </w:t>
      </w:r>
      <w:r w:rsidR="002F2FCB">
        <w:rPr>
          <w:rFonts w:cs="Arial"/>
          <w:sz w:val="24"/>
        </w:rPr>
        <w:t>Democratic, Electoral &amp; Registration Services Manager</w:t>
      </w:r>
    </w:p>
    <w:p w14:paraId="28AF6FE8" w14:textId="7DD48C19" w:rsidR="002A2389" w:rsidRDefault="002A2389" w:rsidP="000E7B97">
      <w:pPr>
        <w:pStyle w:val="Infotext"/>
        <w:spacing w:before="360"/>
        <w:jc w:val="both"/>
      </w:pPr>
      <w:r w:rsidRPr="00D914D2">
        <w:rPr>
          <w:b/>
        </w:rPr>
        <w:t>Background Papers</w:t>
      </w:r>
      <w:r>
        <w:t xml:space="preserve">:  </w:t>
      </w:r>
      <w:r w:rsidR="001F753F">
        <w:rPr>
          <w:rFonts w:cs="Arial"/>
          <w:sz w:val="24"/>
        </w:rPr>
        <w:t>None</w:t>
      </w:r>
    </w:p>
    <w:p w14:paraId="5E7A382E" w14:textId="77777777" w:rsidR="00EE363E" w:rsidRDefault="00EE363E" w:rsidP="000E7B97">
      <w:pPr>
        <w:pStyle w:val="Infotext"/>
        <w:tabs>
          <w:tab w:val="left" w:pos="656"/>
          <w:tab w:val="left" w:pos="6399"/>
        </w:tabs>
        <w:jc w:val="both"/>
        <w:rPr>
          <w:rFonts w:cs="Arial"/>
          <w:sz w:val="24"/>
        </w:rPr>
      </w:pPr>
    </w:p>
    <w:p w14:paraId="507DF23B" w14:textId="54D3DAB5" w:rsidR="00912904" w:rsidRPr="003C0090" w:rsidRDefault="00912904" w:rsidP="000E7B97">
      <w:pPr>
        <w:pStyle w:val="Infotext"/>
        <w:tabs>
          <w:tab w:val="left" w:pos="656"/>
          <w:tab w:val="left" w:pos="6399"/>
        </w:tabs>
        <w:jc w:val="both"/>
        <w:rPr>
          <w:rFonts w:cs="Arial"/>
          <w:sz w:val="24"/>
        </w:rPr>
      </w:pPr>
      <w:r w:rsidRPr="003C0090">
        <w:rPr>
          <w:rFonts w:cs="Arial"/>
          <w:sz w:val="24"/>
        </w:rPr>
        <w:t>1.</w:t>
      </w:r>
      <w:r w:rsidRPr="003C0090">
        <w:rPr>
          <w:rFonts w:cs="Arial"/>
          <w:sz w:val="24"/>
        </w:rPr>
        <w:tab/>
        <w:t xml:space="preserve">Consultation </w:t>
      </w:r>
      <w:r w:rsidRPr="003C0090">
        <w:rPr>
          <w:rFonts w:cs="Arial"/>
          <w:sz w:val="24"/>
        </w:rPr>
        <w:tab/>
        <w:t>NO</w:t>
      </w:r>
    </w:p>
    <w:p w14:paraId="0AC2AC5C" w14:textId="191E01C0" w:rsidR="00912904" w:rsidRPr="003C0090" w:rsidRDefault="00912904" w:rsidP="000E7B97">
      <w:pPr>
        <w:pStyle w:val="Infotext"/>
        <w:tabs>
          <w:tab w:val="left" w:pos="656"/>
          <w:tab w:val="left" w:pos="6399"/>
        </w:tabs>
        <w:jc w:val="both"/>
        <w:rPr>
          <w:rFonts w:cs="Arial"/>
          <w:sz w:val="24"/>
        </w:rPr>
      </w:pPr>
      <w:r w:rsidRPr="003C0090">
        <w:rPr>
          <w:rFonts w:cs="Arial"/>
          <w:sz w:val="24"/>
        </w:rPr>
        <w:t>2.</w:t>
      </w:r>
      <w:r w:rsidRPr="003C0090">
        <w:rPr>
          <w:rFonts w:cs="Arial"/>
          <w:sz w:val="24"/>
        </w:rPr>
        <w:tab/>
        <w:t>Priorities</w:t>
      </w:r>
      <w:r w:rsidRPr="003C0090">
        <w:rPr>
          <w:rFonts w:cs="Arial"/>
          <w:sz w:val="24"/>
        </w:rPr>
        <w:tab/>
        <w:t xml:space="preserve">YES </w:t>
      </w:r>
    </w:p>
    <w:p w14:paraId="695B009D" w14:textId="77777777" w:rsidR="002A2389" w:rsidRPr="003C0090" w:rsidRDefault="002A2389" w:rsidP="000E7B97">
      <w:pPr>
        <w:jc w:val="both"/>
        <w:rPr>
          <w:rFonts w:cs="Arial"/>
        </w:rPr>
      </w:pPr>
    </w:p>
    <w:p w14:paraId="6A592FA8" w14:textId="77777777" w:rsidR="008519AC" w:rsidRDefault="008519AC" w:rsidP="000E7B97">
      <w:pPr>
        <w:jc w:val="both"/>
      </w:pPr>
    </w:p>
    <w:p w14:paraId="06E302F2" w14:textId="6B2E4060" w:rsidR="00C165AA" w:rsidRDefault="00C165AA" w:rsidP="000E7B97">
      <w:pPr>
        <w:jc w:val="both"/>
      </w:pPr>
      <w:r>
        <w:br w:type="page"/>
      </w:r>
    </w:p>
    <w:p w14:paraId="14821983" w14:textId="3E385F28" w:rsidR="00DB049B" w:rsidRDefault="003C0090" w:rsidP="000E7B97">
      <w:pPr>
        <w:pStyle w:val="Heading2"/>
        <w:ind w:left="1440"/>
        <w:jc w:val="both"/>
      </w:pPr>
      <w:r>
        <w:lastRenderedPageBreak/>
        <w:t xml:space="preserve">                                              </w:t>
      </w:r>
      <w:r w:rsidR="002C01A7">
        <w:t>Appendix 1</w:t>
      </w:r>
    </w:p>
    <w:p w14:paraId="083AD3CD" w14:textId="7516FEE7" w:rsidR="00DB049B" w:rsidRDefault="00DB049B" w:rsidP="000E7B97">
      <w:pPr>
        <w:pStyle w:val="Heading2"/>
        <w:ind w:left="1440"/>
        <w:jc w:val="both"/>
        <w:rPr>
          <w:rFonts w:ascii="Arial Bold" w:hAnsi="Arial Bold"/>
          <w:b/>
        </w:rPr>
      </w:pPr>
      <w:r w:rsidRPr="00B605C4">
        <w:t xml:space="preserve">Call-In Sub-Committee (Education) </w:t>
      </w:r>
      <w:r w:rsidRPr="00853D88">
        <w:rPr>
          <w:rFonts w:ascii="Arial Bold" w:hAnsi="Arial Bold"/>
          <w:b/>
        </w:rPr>
        <w:t>(</w:t>
      </w:r>
      <w:r w:rsidR="00AA7B7E">
        <w:rPr>
          <w:rFonts w:ascii="Arial Bold" w:hAnsi="Arial Bold"/>
          <w:b/>
        </w:rPr>
        <w:t>17</w:t>
      </w:r>
      <w:r w:rsidRPr="00853D88">
        <w:rPr>
          <w:rFonts w:ascii="Arial Bold" w:hAnsi="Arial Bold"/>
          <w:b/>
        </w:rPr>
        <w:t>)</w:t>
      </w:r>
    </w:p>
    <w:p w14:paraId="06A713A7" w14:textId="77777777" w:rsidR="00DB049B" w:rsidRDefault="00DB049B" w:rsidP="000E7B97">
      <w:pPr>
        <w:jc w:val="both"/>
      </w:pPr>
    </w:p>
    <w:p w14:paraId="529A62F7" w14:textId="77777777" w:rsidR="00DB049B" w:rsidRDefault="00DB049B" w:rsidP="000E7B97">
      <w:pPr>
        <w:jc w:val="both"/>
      </w:pPr>
    </w:p>
    <w:p w14:paraId="553D5D9E" w14:textId="77777777" w:rsidR="00DB049B" w:rsidRPr="00DB049B" w:rsidRDefault="00DB049B" w:rsidP="000E7B97">
      <w:pPr>
        <w:jc w:val="both"/>
      </w:pPr>
    </w:p>
    <w:tbl>
      <w:tblPr>
        <w:tblW w:w="10098" w:type="dxa"/>
        <w:tblLayout w:type="fixed"/>
        <w:tblLook w:val="0000" w:firstRow="0" w:lastRow="0" w:firstColumn="0" w:lastColumn="0" w:noHBand="0" w:noVBand="0"/>
      </w:tblPr>
      <w:tblGrid>
        <w:gridCol w:w="1458"/>
        <w:gridCol w:w="4320"/>
        <w:gridCol w:w="4320"/>
      </w:tblGrid>
      <w:tr w:rsidR="00DB049B" w:rsidRPr="00DF7399" w14:paraId="1E3A5674" w14:textId="77777777" w:rsidTr="000C7B4E">
        <w:tc>
          <w:tcPr>
            <w:tcW w:w="1458" w:type="dxa"/>
          </w:tcPr>
          <w:p w14:paraId="53DC150C" w14:textId="77777777" w:rsidR="00DB049B" w:rsidRPr="00DF7399" w:rsidRDefault="00DB049B" w:rsidP="000E7B97">
            <w:pPr>
              <w:tabs>
                <w:tab w:val="left" w:pos="1440"/>
                <w:tab w:val="left" w:pos="1890"/>
                <w:tab w:val="left" w:pos="2430"/>
              </w:tabs>
              <w:jc w:val="both"/>
              <w:rPr>
                <w:b/>
                <w:szCs w:val="24"/>
              </w:rPr>
            </w:pPr>
          </w:p>
        </w:tc>
        <w:tc>
          <w:tcPr>
            <w:tcW w:w="4320" w:type="dxa"/>
          </w:tcPr>
          <w:p w14:paraId="3D204254" w14:textId="77777777" w:rsidR="00DB049B" w:rsidRDefault="00DB049B" w:rsidP="000E7B97">
            <w:pPr>
              <w:jc w:val="both"/>
              <w:rPr>
                <w:rFonts w:cs="Arial"/>
                <w:b/>
                <w:bCs/>
                <w:szCs w:val="24"/>
                <w:lang w:val="en-US"/>
              </w:rPr>
            </w:pPr>
            <w:r>
              <w:rPr>
                <w:rFonts w:cs="Arial"/>
                <w:b/>
                <w:bCs/>
                <w:szCs w:val="24"/>
                <w:lang w:val="en-US"/>
              </w:rPr>
              <w:t>Conservative</w:t>
            </w:r>
          </w:p>
          <w:p w14:paraId="199D699C" w14:textId="6F2850E9" w:rsidR="00DB049B" w:rsidRDefault="00DB049B" w:rsidP="000E7B97">
            <w:pPr>
              <w:jc w:val="both"/>
              <w:rPr>
                <w:rFonts w:cs="Arial"/>
                <w:b/>
                <w:bCs/>
                <w:szCs w:val="24"/>
                <w:lang w:val="en-US"/>
              </w:rPr>
            </w:pPr>
            <w:r>
              <w:rPr>
                <w:rFonts w:cs="Arial"/>
                <w:b/>
                <w:bCs/>
                <w:szCs w:val="24"/>
                <w:lang w:val="en-US"/>
              </w:rPr>
              <w:t>(</w:t>
            </w:r>
            <w:r w:rsidR="002C01A7">
              <w:rPr>
                <w:rFonts w:cs="Arial"/>
                <w:b/>
                <w:bCs/>
                <w:szCs w:val="24"/>
                <w:lang w:val="en-US"/>
              </w:rPr>
              <w:t>9</w:t>
            </w:r>
            <w:r>
              <w:rPr>
                <w:rFonts w:cs="Arial"/>
                <w:b/>
                <w:bCs/>
                <w:szCs w:val="24"/>
                <w:lang w:val="en-US"/>
              </w:rPr>
              <w:t>)</w:t>
            </w:r>
          </w:p>
          <w:p w14:paraId="46E93806" w14:textId="77777777" w:rsidR="00DB049B" w:rsidRDefault="00DB049B" w:rsidP="000E7B97">
            <w:pPr>
              <w:jc w:val="both"/>
              <w:rPr>
                <w:rFonts w:cs="Arial"/>
                <w:b/>
                <w:bCs/>
                <w:szCs w:val="24"/>
                <w:lang w:val="en-US"/>
              </w:rPr>
            </w:pPr>
          </w:p>
        </w:tc>
        <w:tc>
          <w:tcPr>
            <w:tcW w:w="4320" w:type="dxa"/>
          </w:tcPr>
          <w:p w14:paraId="7C171A6A" w14:textId="77777777" w:rsidR="00DB049B" w:rsidRDefault="00DB049B" w:rsidP="000E7B97">
            <w:pPr>
              <w:tabs>
                <w:tab w:val="right" w:pos="2754"/>
              </w:tabs>
              <w:jc w:val="both"/>
              <w:rPr>
                <w:rFonts w:cs="Arial"/>
                <w:b/>
                <w:szCs w:val="24"/>
              </w:rPr>
            </w:pPr>
            <w:r>
              <w:rPr>
                <w:rFonts w:cs="Arial"/>
                <w:b/>
                <w:szCs w:val="24"/>
              </w:rPr>
              <w:t>Labour</w:t>
            </w:r>
          </w:p>
          <w:p w14:paraId="1D5D455A" w14:textId="77777777" w:rsidR="00DB049B" w:rsidRPr="00B605C4" w:rsidRDefault="00DB049B" w:rsidP="000E7B97">
            <w:pPr>
              <w:tabs>
                <w:tab w:val="right" w:pos="2754"/>
              </w:tabs>
              <w:jc w:val="both"/>
              <w:rPr>
                <w:rFonts w:cs="Arial"/>
                <w:b/>
                <w:szCs w:val="24"/>
              </w:rPr>
            </w:pPr>
            <w:r>
              <w:rPr>
                <w:rFonts w:cs="Arial"/>
                <w:b/>
                <w:szCs w:val="24"/>
              </w:rPr>
              <w:t>(4)</w:t>
            </w:r>
          </w:p>
        </w:tc>
      </w:tr>
      <w:tr w:rsidR="00DB049B" w:rsidRPr="00DF7399" w14:paraId="6665E68F" w14:textId="77777777" w:rsidTr="000C7B4E">
        <w:tc>
          <w:tcPr>
            <w:tcW w:w="1458" w:type="dxa"/>
          </w:tcPr>
          <w:p w14:paraId="3F1361EE" w14:textId="77777777" w:rsidR="00DB049B" w:rsidRPr="00DF7399" w:rsidRDefault="00DB049B" w:rsidP="000E7B97">
            <w:pPr>
              <w:tabs>
                <w:tab w:val="left" w:pos="1440"/>
                <w:tab w:val="left" w:pos="1890"/>
                <w:tab w:val="left" w:pos="2430"/>
              </w:tabs>
              <w:jc w:val="both"/>
              <w:rPr>
                <w:b/>
                <w:szCs w:val="24"/>
              </w:rPr>
            </w:pPr>
            <w:r w:rsidRPr="00DF7399">
              <w:rPr>
                <w:b/>
                <w:szCs w:val="24"/>
              </w:rPr>
              <w:t>I.</w:t>
            </w:r>
          </w:p>
          <w:p w14:paraId="65A0AD5E" w14:textId="77777777" w:rsidR="00DB049B" w:rsidRPr="00DF7399" w:rsidRDefault="00DB049B" w:rsidP="000E7B97">
            <w:pPr>
              <w:tabs>
                <w:tab w:val="left" w:pos="1440"/>
                <w:tab w:val="left" w:pos="1890"/>
                <w:tab w:val="left" w:pos="2430"/>
              </w:tabs>
              <w:jc w:val="both"/>
              <w:rPr>
                <w:b/>
                <w:szCs w:val="24"/>
              </w:rPr>
            </w:pPr>
            <w:r w:rsidRPr="00DF7399">
              <w:rPr>
                <w:b/>
                <w:szCs w:val="24"/>
              </w:rPr>
              <w:t>Members</w:t>
            </w:r>
          </w:p>
          <w:p w14:paraId="6027DB0B" w14:textId="77777777" w:rsidR="00DB049B" w:rsidRPr="00DF7399" w:rsidRDefault="00DB049B" w:rsidP="000E7B97">
            <w:pPr>
              <w:tabs>
                <w:tab w:val="left" w:pos="1440"/>
                <w:tab w:val="left" w:pos="1890"/>
                <w:tab w:val="left" w:pos="2430"/>
              </w:tabs>
              <w:jc w:val="both"/>
              <w:rPr>
                <w:szCs w:val="24"/>
              </w:rPr>
            </w:pPr>
          </w:p>
        </w:tc>
        <w:tc>
          <w:tcPr>
            <w:tcW w:w="4320" w:type="dxa"/>
          </w:tcPr>
          <w:p w14:paraId="740B2469" w14:textId="77777777" w:rsidR="00DB049B" w:rsidRPr="00106AE7" w:rsidRDefault="00DB049B" w:rsidP="000E7B97">
            <w:pPr>
              <w:autoSpaceDE w:val="0"/>
              <w:autoSpaceDN w:val="0"/>
              <w:adjustRightInd w:val="0"/>
              <w:jc w:val="both"/>
              <w:rPr>
                <w:b/>
              </w:rPr>
            </w:pPr>
            <w:r w:rsidRPr="00106AE7">
              <w:rPr>
                <w:b/>
              </w:rPr>
              <w:t>June Baxter</w:t>
            </w:r>
          </w:p>
          <w:p w14:paraId="6A80D42A" w14:textId="77777777" w:rsidR="00DB049B" w:rsidRDefault="00DB049B" w:rsidP="000E7B97">
            <w:pPr>
              <w:autoSpaceDE w:val="0"/>
              <w:autoSpaceDN w:val="0"/>
              <w:adjustRightInd w:val="0"/>
              <w:jc w:val="both"/>
              <w:rPr>
                <w:b/>
              </w:rPr>
            </w:pPr>
            <w:r w:rsidRPr="00106AE7">
              <w:rPr>
                <w:b/>
              </w:rPr>
              <w:t>Govind Bharadia</w:t>
            </w:r>
          </w:p>
          <w:p w14:paraId="3D156944" w14:textId="4F5D28AE" w:rsidR="00334C48" w:rsidRDefault="00334C48" w:rsidP="000E7B97">
            <w:pPr>
              <w:autoSpaceDE w:val="0"/>
              <w:autoSpaceDN w:val="0"/>
              <w:adjustRightInd w:val="0"/>
              <w:jc w:val="both"/>
              <w:rPr>
                <w:b/>
              </w:rPr>
            </w:pPr>
            <w:r>
              <w:rPr>
                <w:b/>
              </w:rPr>
              <w:t>Nicola Blackman</w:t>
            </w:r>
          </w:p>
          <w:p w14:paraId="423189BD" w14:textId="3C8F2073" w:rsidR="00334C48" w:rsidRDefault="00334C48" w:rsidP="000E7B97">
            <w:pPr>
              <w:autoSpaceDE w:val="0"/>
              <w:autoSpaceDN w:val="0"/>
              <w:adjustRightInd w:val="0"/>
              <w:jc w:val="both"/>
              <w:rPr>
                <w:b/>
              </w:rPr>
            </w:pPr>
            <w:r>
              <w:rPr>
                <w:b/>
              </w:rPr>
              <w:t>Matthew Goodwin-Freeman</w:t>
            </w:r>
          </w:p>
          <w:p w14:paraId="01AC3189" w14:textId="237CCF9A" w:rsidR="00334C48" w:rsidRPr="00106AE7" w:rsidRDefault="00334C48" w:rsidP="000E7B97">
            <w:pPr>
              <w:autoSpaceDE w:val="0"/>
              <w:autoSpaceDN w:val="0"/>
              <w:adjustRightInd w:val="0"/>
              <w:jc w:val="both"/>
              <w:rPr>
                <w:b/>
              </w:rPr>
            </w:pPr>
            <w:r>
              <w:rPr>
                <w:b/>
              </w:rPr>
              <w:t>Chetna Halai</w:t>
            </w:r>
          </w:p>
          <w:p w14:paraId="6B58518E" w14:textId="77777777" w:rsidR="00DB049B" w:rsidRPr="00106AE7" w:rsidRDefault="00DB049B" w:rsidP="000E7B97">
            <w:pPr>
              <w:autoSpaceDE w:val="0"/>
              <w:autoSpaceDN w:val="0"/>
              <w:adjustRightInd w:val="0"/>
              <w:jc w:val="both"/>
              <w:rPr>
                <w:b/>
              </w:rPr>
            </w:pPr>
            <w:r w:rsidRPr="00106AE7">
              <w:rPr>
                <w:b/>
              </w:rPr>
              <w:t>Vipin Mithani</w:t>
            </w:r>
          </w:p>
          <w:p w14:paraId="363DAFEB" w14:textId="77777777" w:rsidR="00DB049B" w:rsidRDefault="00DB049B" w:rsidP="000E7B97">
            <w:pPr>
              <w:autoSpaceDE w:val="0"/>
              <w:autoSpaceDN w:val="0"/>
              <w:adjustRightInd w:val="0"/>
              <w:jc w:val="both"/>
              <w:rPr>
                <w:b/>
              </w:rPr>
            </w:pPr>
            <w:r w:rsidRPr="00106AE7">
              <w:rPr>
                <w:b/>
              </w:rPr>
              <w:t>Amir Moshenson (CH)</w:t>
            </w:r>
          </w:p>
          <w:p w14:paraId="0BD49A45" w14:textId="3A649054" w:rsidR="00334C48" w:rsidRPr="00106AE7" w:rsidRDefault="00334C48" w:rsidP="000E7B97">
            <w:pPr>
              <w:autoSpaceDE w:val="0"/>
              <w:autoSpaceDN w:val="0"/>
              <w:adjustRightInd w:val="0"/>
              <w:jc w:val="both"/>
              <w:rPr>
                <w:b/>
              </w:rPr>
            </w:pPr>
            <w:r>
              <w:rPr>
                <w:b/>
              </w:rPr>
              <w:t>Janet Mote</w:t>
            </w:r>
          </w:p>
          <w:p w14:paraId="7792A39C" w14:textId="77777777" w:rsidR="00DB049B" w:rsidRPr="00106AE7" w:rsidRDefault="00DB049B" w:rsidP="000E7B97">
            <w:pPr>
              <w:autoSpaceDE w:val="0"/>
              <w:autoSpaceDN w:val="0"/>
              <w:adjustRightInd w:val="0"/>
              <w:jc w:val="both"/>
              <w:rPr>
                <w:b/>
              </w:rPr>
            </w:pPr>
            <w:r w:rsidRPr="00106AE7">
              <w:rPr>
                <w:b/>
              </w:rPr>
              <w:t>Samir Sumaria</w:t>
            </w:r>
          </w:p>
          <w:p w14:paraId="4F9B7E53" w14:textId="77777777" w:rsidR="00DB049B" w:rsidRDefault="00DB049B" w:rsidP="000E7B97">
            <w:pPr>
              <w:jc w:val="both"/>
              <w:rPr>
                <w:rFonts w:cs="Arial"/>
                <w:b/>
                <w:szCs w:val="24"/>
                <w:lang w:val="fr-FR"/>
              </w:rPr>
            </w:pPr>
          </w:p>
          <w:p w14:paraId="1B4A0A4D" w14:textId="77777777" w:rsidR="00DB049B" w:rsidRPr="00B605C4" w:rsidRDefault="00DB049B" w:rsidP="000E7B97">
            <w:pPr>
              <w:ind w:left="-73" w:firstLine="73"/>
              <w:jc w:val="both"/>
              <w:rPr>
                <w:rFonts w:cs="Arial"/>
                <w:b/>
                <w:szCs w:val="24"/>
                <w:lang w:val="fr-FR"/>
              </w:rPr>
            </w:pPr>
          </w:p>
        </w:tc>
        <w:tc>
          <w:tcPr>
            <w:tcW w:w="4320" w:type="dxa"/>
          </w:tcPr>
          <w:p w14:paraId="0279DEC7" w14:textId="77777777" w:rsidR="00DB049B" w:rsidRDefault="00DB049B" w:rsidP="000E7B97">
            <w:pPr>
              <w:autoSpaceDE w:val="0"/>
              <w:autoSpaceDN w:val="0"/>
              <w:adjustRightInd w:val="0"/>
              <w:jc w:val="both"/>
              <w:rPr>
                <w:b/>
              </w:rPr>
            </w:pPr>
            <w:r w:rsidRPr="00106AE7">
              <w:rPr>
                <w:b/>
              </w:rPr>
              <w:t xml:space="preserve">Dean Gilligan </w:t>
            </w:r>
          </w:p>
          <w:p w14:paraId="1864319E" w14:textId="77777777" w:rsidR="00DB049B" w:rsidRDefault="00DB049B" w:rsidP="000E7B97">
            <w:pPr>
              <w:autoSpaceDE w:val="0"/>
              <w:autoSpaceDN w:val="0"/>
              <w:adjustRightInd w:val="0"/>
              <w:jc w:val="both"/>
              <w:rPr>
                <w:b/>
              </w:rPr>
            </w:pPr>
            <w:r w:rsidRPr="00106AE7">
              <w:rPr>
                <w:b/>
              </w:rPr>
              <w:t xml:space="preserve">Jerry Miles </w:t>
            </w:r>
          </w:p>
          <w:p w14:paraId="56D02C27" w14:textId="77777777" w:rsidR="00DB049B" w:rsidRPr="00106AE7" w:rsidRDefault="00DB049B" w:rsidP="000E7B97">
            <w:pPr>
              <w:autoSpaceDE w:val="0"/>
              <w:autoSpaceDN w:val="0"/>
              <w:adjustRightInd w:val="0"/>
              <w:jc w:val="both"/>
              <w:rPr>
                <w:b/>
              </w:rPr>
            </w:pPr>
            <w:r>
              <w:rPr>
                <w:b/>
              </w:rPr>
              <w:t>Rekha Shah</w:t>
            </w:r>
          </w:p>
          <w:p w14:paraId="0B3AB607" w14:textId="77777777" w:rsidR="00DB049B" w:rsidRPr="00B605C4" w:rsidRDefault="00DB049B" w:rsidP="000E7B97">
            <w:pPr>
              <w:jc w:val="both"/>
              <w:rPr>
                <w:rFonts w:cs="Arial"/>
                <w:b/>
                <w:szCs w:val="24"/>
              </w:rPr>
            </w:pPr>
            <w:r w:rsidRPr="00106AE7">
              <w:rPr>
                <w:b/>
              </w:rPr>
              <w:t>Sasi Suresh</w:t>
            </w:r>
          </w:p>
        </w:tc>
      </w:tr>
      <w:tr w:rsidR="00DB049B" w:rsidRPr="00DF7399" w14:paraId="113834BF" w14:textId="77777777" w:rsidTr="000C7B4E">
        <w:tc>
          <w:tcPr>
            <w:tcW w:w="1458" w:type="dxa"/>
          </w:tcPr>
          <w:p w14:paraId="6E4AE8BE" w14:textId="77777777" w:rsidR="00DB049B" w:rsidRPr="0007169B" w:rsidRDefault="00DB049B" w:rsidP="000E7B97">
            <w:pPr>
              <w:tabs>
                <w:tab w:val="left" w:pos="1440"/>
                <w:tab w:val="left" w:pos="1890"/>
                <w:tab w:val="left" w:pos="2430"/>
              </w:tabs>
              <w:jc w:val="both"/>
              <w:rPr>
                <w:szCs w:val="24"/>
              </w:rPr>
            </w:pPr>
            <w:r w:rsidRPr="0007169B">
              <w:rPr>
                <w:szCs w:val="24"/>
              </w:rPr>
              <w:t>II</w:t>
            </w:r>
            <w:r>
              <w:rPr>
                <w:szCs w:val="24"/>
              </w:rPr>
              <w:t>.</w:t>
            </w:r>
          </w:p>
          <w:p w14:paraId="4ACFB756" w14:textId="77777777" w:rsidR="00DB049B" w:rsidRPr="00DF7399" w:rsidRDefault="00DB049B" w:rsidP="000E7B97">
            <w:pPr>
              <w:tabs>
                <w:tab w:val="left" w:pos="1440"/>
                <w:tab w:val="left" w:pos="1890"/>
                <w:tab w:val="left" w:pos="2430"/>
              </w:tabs>
              <w:jc w:val="both"/>
              <w:rPr>
                <w:b/>
                <w:szCs w:val="24"/>
              </w:rPr>
            </w:pPr>
            <w:r w:rsidRPr="0007169B">
              <w:rPr>
                <w:szCs w:val="24"/>
              </w:rPr>
              <w:t>Reserve Members</w:t>
            </w:r>
          </w:p>
        </w:tc>
        <w:tc>
          <w:tcPr>
            <w:tcW w:w="4320" w:type="dxa"/>
          </w:tcPr>
          <w:p w14:paraId="1DB930E4" w14:textId="77777777" w:rsidR="00DB049B" w:rsidRPr="00B00079" w:rsidRDefault="00DB049B" w:rsidP="000E7B97">
            <w:pPr>
              <w:tabs>
                <w:tab w:val="left" w:pos="382"/>
              </w:tabs>
              <w:ind w:left="382" w:hanging="382"/>
              <w:jc w:val="both"/>
              <w:rPr>
                <w:rFonts w:cs="Arial"/>
                <w:bCs/>
                <w:color w:val="000000"/>
                <w:lang w:val="en-US"/>
              </w:rPr>
            </w:pPr>
            <w:r w:rsidRPr="00B00079">
              <w:rPr>
                <w:rFonts w:cs="Arial"/>
                <w:bCs/>
                <w:color w:val="000000"/>
                <w:lang w:val="en-US"/>
              </w:rPr>
              <w:t>1.</w:t>
            </w:r>
            <w:r w:rsidRPr="00B00079">
              <w:rPr>
                <w:rFonts w:cs="Arial"/>
                <w:bCs/>
                <w:color w:val="000000"/>
                <w:lang w:val="en-US"/>
              </w:rPr>
              <w:tab/>
              <w:t>Philip Benjamin</w:t>
            </w:r>
          </w:p>
          <w:p w14:paraId="64955BB7" w14:textId="77777777" w:rsidR="00DB049B" w:rsidRPr="00B00079" w:rsidRDefault="00DB049B" w:rsidP="000E7B97">
            <w:pPr>
              <w:tabs>
                <w:tab w:val="left" w:pos="382"/>
              </w:tabs>
              <w:ind w:left="382" w:hanging="382"/>
              <w:jc w:val="both"/>
              <w:rPr>
                <w:rFonts w:cs="Arial"/>
                <w:bCs/>
                <w:color w:val="000000"/>
                <w:lang w:val="en-US"/>
              </w:rPr>
            </w:pPr>
            <w:r w:rsidRPr="00B00079">
              <w:rPr>
                <w:rFonts w:cs="Arial"/>
                <w:bCs/>
                <w:color w:val="000000"/>
                <w:lang w:val="en-US"/>
              </w:rPr>
              <w:t>2.</w:t>
            </w:r>
            <w:r w:rsidRPr="00B00079">
              <w:rPr>
                <w:rFonts w:cs="Arial"/>
                <w:bCs/>
                <w:color w:val="000000"/>
                <w:lang w:val="en-US"/>
              </w:rPr>
              <w:tab/>
            </w:r>
            <w:r>
              <w:rPr>
                <w:rFonts w:cs="Arial"/>
                <w:bCs/>
                <w:color w:val="000000"/>
                <w:lang w:val="en-US"/>
              </w:rPr>
              <w:t>Janet Mote</w:t>
            </w:r>
          </w:p>
          <w:p w14:paraId="174CA88C" w14:textId="48E5D901" w:rsidR="00DB049B" w:rsidRPr="00B00079" w:rsidRDefault="00DB049B" w:rsidP="000E7B97">
            <w:pPr>
              <w:tabs>
                <w:tab w:val="left" w:pos="382"/>
              </w:tabs>
              <w:ind w:left="382" w:hanging="382"/>
              <w:jc w:val="both"/>
              <w:rPr>
                <w:rFonts w:cs="Arial"/>
                <w:bCs/>
                <w:color w:val="000000"/>
                <w:lang w:val="en-US"/>
              </w:rPr>
            </w:pPr>
            <w:r w:rsidRPr="00B00079">
              <w:rPr>
                <w:rFonts w:cs="Arial"/>
                <w:bCs/>
                <w:color w:val="000000"/>
                <w:lang w:val="en-US"/>
              </w:rPr>
              <w:t>3.</w:t>
            </w:r>
            <w:r w:rsidRPr="00B00079">
              <w:rPr>
                <w:rFonts w:cs="Arial"/>
                <w:bCs/>
                <w:color w:val="000000"/>
                <w:lang w:val="en-US"/>
              </w:rPr>
              <w:tab/>
              <w:t>Kuha Kumaran</w:t>
            </w:r>
          </w:p>
          <w:p w14:paraId="4B6E0DC3" w14:textId="77777777" w:rsidR="00DB049B" w:rsidRDefault="00EE363E" w:rsidP="000E7B97">
            <w:pPr>
              <w:ind w:left="326" w:hanging="326"/>
              <w:jc w:val="both"/>
              <w:rPr>
                <w:rFonts w:cs="Arial"/>
                <w:bCs/>
                <w:color w:val="000000"/>
                <w:lang w:val="en-US"/>
              </w:rPr>
            </w:pPr>
            <w:r>
              <w:rPr>
                <w:rFonts w:cs="Arial"/>
                <w:bCs/>
                <w:color w:val="000000"/>
                <w:lang w:val="en-US"/>
              </w:rPr>
              <w:t>4</w:t>
            </w:r>
            <w:r w:rsidR="00DB049B" w:rsidRPr="00B00079">
              <w:rPr>
                <w:rFonts w:cs="Arial"/>
                <w:bCs/>
                <w:color w:val="000000"/>
                <w:lang w:val="en-US"/>
              </w:rPr>
              <w:t>.</w:t>
            </w:r>
            <w:r w:rsidR="00DB049B" w:rsidRPr="00B00079">
              <w:rPr>
                <w:rFonts w:cs="Arial"/>
                <w:bCs/>
                <w:color w:val="000000"/>
                <w:lang w:val="en-US"/>
              </w:rPr>
              <w:tab/>
            </w:r>
            <w:r w:rsidR="00DB049B" w:rsidRPr="00CF6CFD">
              <w:rPr>
                <w:rFonts w:cs="Arial"/>
                <w:bCs/>
                <w:color w:val="000000"/>
                <w:lang w:val="en-US"/>
              </w:rPr>
              <w:t>Salim Chowdhury</w:t>
            </w:r>
          </w:p>
          <w:p w14:paraId="72EAC76A" w14:textId="20F2EB52" w:rsidR="00EE363E" w:rsidRPr="00B605C4" w:rsidRDefault="00EE363E" w:rsidP="000E7B97">
            <w:pPr>
              <w:ind w:left="326" w:hanging="326"/>
              <w:jc w:val="both"/>
              <w:rPr>
                <w:rFonts w:cs="Arial"/>
                <w:bCs/>
                <w:szCs w:val="24"/>
                <w:lang w:val="fr-FR"/>
              </w:rPr>
            </w:pPr>
            <w:r>
              <w:rPr>
                <w:rFonts w:cs="Arial"/>
                <w:bCs/>
                <w:color w:val="000000"/>
                <w:lang w:val="en-US"/>
              </w:rPr>
              <w:t>5.  Vacancy</w:t>
            </w:r>
          </w:p>
        </w:tc>
        <w:tc>
          <w:tcPr>
            <w:tcW w:w="4320" w:type="dxa"/>
          </w:tcPr>
          <w:p w14:paraId="33F1356E" w14:textId="77777777" w:rsidR="00DB049B" w:rsidRPr="00106AE7" w:rsidRDefault="00DB049B" w:rsidP="000E7B97">
            <w:pPr>
              <w:tabs>
                <w:tab w:val="left" w:pos="162"/>
              </w:tabs>
              <w:ind w:left="522" w:hanging="522"/>
              <w:jc w:val="both"/>
              <w:rPr>
                <w:rFonts w:cs="Arial"/>
                <w:bCs/>
                <w:szCs w:val="24"/>
                <w:lang w:val="fr-FR"/>
              </w:rPr>
            </w:pPr>
            <w:r>
              <w:rPr>
                <w:rFonts w:cs="Arial"/>
                <w:bCs/>
                <w:szCs w:val="24"/>
                <w:lang w:val="fr-FR"/>
              </w:rPr>
              <w:tab/>
              <w:t>1.</w:t>
            </w:r>
            <w:r>
              <w:rPr>
                <w:rFonts w:cs="Arial"/>
                <w:bCs/>
                <w:szCs w:val="24"/>
                <w:lang w:val="fr-FR"/>
              </w:rPr>
              <w:tab/>
            </w:r>
            <w:r w:rsidRPr="00106AE7">
              <w:rPr>
                <w:rFonts w:cs="Arial"/>
                <w:bCs/>
                <w:szCs w:val="24"/>
                <w:lang w:val="fr-FR"/>
              </w:rPr>
              <w:t>Dan</w:t>
            </w:r>
            <w:r w:rsidRPr="00106AE7">
              <w:rPr>
                <w:rFonts w:cs="Arial"/>
                <w:bCs/>
                <w:color w:val="000000"/>
                <w:lang w:val="en-US"/>
              </w:rPr>
              <w:t xml:space="preserve"> </w:t>
            </w:r>
            <w:r w:rsidRPr="00106AE7">
              <w:rPr>
                <w:rFonts w:cs="Arial"/>
                <w:bCs/>
                <w:szCs w:val="24"/>
                <w:lang w:val="fr-FR"/>
              </w:rPr>
              <w:t>Anderson</w:t>
            </w:r>
          </w:p>
          <w:p w14:paraId="479B839E" w14:textId="77777777" w:rsidR="00DB049B" w:rsidRPr="00106AE7" w:rsidRDefault="00DB049B" w:rsidP="000E7B97">
            <w:pPr>
              <w:tabs>
                <w:tab w:val="left" w:pos="162"/>
              </w:tabs>
              <w:ind w:left="522" w:hanging="522"/>
              <w:jc w:val="both"/>
              <w:rPr>
                <w:rFonts w:cs="Arial"/>
                <w:bCs/>
                <w:szCs w:val="24"/>
                <w:lang w:val="fr-FR"/>
              </w:rPr>
            </w:pPr>
            <w:r w:rsidRPr="00106AE7">
              <w:rPr>
                <w:rFonts w:cs="Arial"/>
                <w:bCs/>
                <w:szCs w:val="24"/>
                <w:lang w:val="fr-FR"/>
              </w:rPr>
              <w:tab/>
              <w:t>2.</w:t>
            </w:r>
            <w:r w:rsidRPr="00106AE7">
              <w:rPr>
                <w:rFonts w:cs="Arial"/>
                <w:bCs/>
                <w:szCs w:val="24"/>
                <w:lang w:val="fr-FR"/>
              </w:rPr>
              <w:tab/>
              <w:t>Rashmi Kalu</w:t>
            </w:r>
          </w:p>
          <w:p w14:paraId="34152941" w14:textId="77777777" w:rsidR="00DB049B" w:rsidRPr="00106AE7" w:rsidRDefault="00DB049B" w:rsidP="000E7B97">
            <w:pPr>
              <w:tabs>
                <w:tab w:val="left" w:pos="162"/>
              </w:tabs>
              <w:ind w:left="522" w:hanging="522"/>
              <w:jc w:val="both"/>
              <w:rPr>
                <w:rFonts w:cs="Arial"/>
                <w:bCs/>
                <w:szCs w:val="24"/>
                <w:lang w:val="fr-FR"/>
              </w:rPr>
            </w:pPr>
            <w:r w:rsidRPr="00106AE7">
              <w:rPr>
                <w:rFonts w:cs="Arial"/>
                <w:bCs/>
                <w:szCs w:val="24"/>
                <w:lang w:val="fr-FR"/>
              </w:rPr>
              <w:tab/>
              <w:t>3.</w:t>
            </w:r>
            <w:r w:rsidRPr="00106AE7">
              <w:rPr>
                <w:rFonts w:cs="Arial"/>
                <w:bCs/>
                <w:szCs w:val="24"/>
                <w:lang w:val="fr-FR"/>
              </w:rPr>
              <w:tab/>
              <w:t>Eden Kulig</w:t>
            </w:r>
          </w:p>
          <w:p w14:paraId="2ADC68D3" w14:textId="77777777" w:rsidR="00DB049B" w:rsidRPr="00106AE7" w:rsidRDefault="00DB049B" w:rsidP="000E7B97">
            <w:pPr>
              <w:tabs>
                <w:tab w:val="left" w:pos="162"/>
              </w:tabs>
              <w:ind w:left="522" w:hanging="522"/>
              <w:jc w:val="both"/>
              <w:rPr>
                <w:rFonts w:cs="Arial"/>
                <w:bCs/>
                <w:szCs w:val="24"/>
                <w:lang w:val="fr-FR"/>
              </w:rPr>
            </w:pPr>
            <w:r w:rsidRPr="00106AE7">
              <w:rPr>
                <w:rFonts w:cs="Arial"/>
                <w:bCs/>
                <w:szCs w:val="24"/>
                <w:lang w:val="fr-FR"/>
              </w:rPr>
              <w:tab/>
              <w:t>4.</w:t>
            </w:r>
            <w:r w:rsidRPr="00106AE7">
              <w:rPr>
                <w:rFonts w:cs="Arial"/>
                <w:bCs/>
                <w:szCs w:val="24"/>
                <w:lang w:val="fr-FR"/>
              </w:rPr>
              <w:tab/>
              <w:t>Antonio Weiss</w:t>
            </w:r>
          </w:p>
          <w:p w14:paraId="64AE21B2" w14:textId="77777777" w:rsidR="00DB049B" w:rsidRPr="00106AE7" w:rsidRDefault="00DB049B" w:rsidP="000E7B97">
            <w:pPr>
              <w:tabs>
                <w:tab w:val="left" w:pos="162"/>
              </w:tabs>
              <w:ind w:left="522" w:hanging="522"/>
              <w:jc w:val="both"/>
              <w:rPr>
                <w:rFonts w:cs="Arial"/>
                <w:bCs/>
                <w:szCs w:val="24"/>
                <w:lang w:val="fr-FR"/>
              </w:rPr>
            </w:pPr>
            <w:r w:rsidRPr="00106AE7">
              <w:rPr>
                <w:rFonts w:cs="Arial"/>
                <w:bCs/>
                <w:szCs w:val="24"/>
                <w:lang w:val="fr-FR"/>
              </w:rPr>
              <w:t>†</w:t>
            </w:r>
            <w:r w:rsidRPr="00106AE7">
              <w:rPr>
                <w:rFonts w:cs="Arial"/>
                <w:bCs/>
                <w:szCs w:val="24"/>
                <w:lang w:val="fr-FR"/>
              </w:rPr>
              <w:tab/>
              <w:t>5.</w:t>
            </w:r>
            <w:r w:rsidRPr="00106AE7">
              <w:rPr>
                <w:rFonts w:cs="Arial"/>
                <w:bCs/>
                <w:szCs w:val="24"/>
                <w:lang w:val="fr-FR"/>
              </w:rPr>
              <w:tab/>
              <w:t>Vacancy</w:t>
            </w:r>
          </w:p>
          <w:p w14:paraId="074F889A" w14:textId="77777777" w:rsidR="00DB049B" w:rsidRPr="00B605C4" w:rsidRDefault="00DB049B" w:rsidP="000E7B97">
            <w:pPr>
              <w:ind w:left="326" w:hanging="326"/>
              <w:jc w:val="both"/>
              <w:rPr>
                <w:rFonts w:cs="Arial"/>
                <w:bCs/>
                <w:szCs w:val="24"/>
              </w:rPr>
            </w:pPr>
          </w:p>
        </w:tc>
      </w:tr>
    </w:tbl>
    <w:p w14:paraId="344C2ABA" w14:textId="57CBD0DF" w:rsidR="00DB049B" w:rsidRDefault="00DB049B" w:rsidP="000E7B97">
      <w:pPr>
        <w:spacing w:before="240"/>
        <w:ind w:left="1440"/>
        <w:jc w:val="both"/>
        <w:rPr>
          <w:rFonts w:cs="Arial"/>
          <w:szCs w:val="24"/>
        </w:rPr>
      </w:pPr>
      <w:r w:rsidRPr="008E1B47">
        <w:rPr>
          <w:rFonts w:cs="Arial"/>
          <w:szCs w:val="24"/>
        </w:rPr>
        <w:t>Voting Co-opted Members:</w:t>
      </w:r>
    </w:p>
    <w:p w14:paraId="690FE2E8" w14:textId="1189F4DE" w:rsidR="00DB049B" w:rsidRPr="008E1B47" w:rsidRDefault="00DB049B" w:rsidP="000E7B97">
      <w:pPr>
        <w:ind w:left="1980" w:hanging="540"/>
        <w:jc w:val="both"/>
        <w:rPr>
          <w:rFonts w:cs="Arial"/>
          <w:szCs w:val="24"/>
        </w:rPr>
      </w:pPr>
      <w:r w:rsidRPr="008E1B47">
        <w:rPr>
          <w:rFonts w:cs="Arial"/>
          <w:szCs w:val="24"/>
        </w:rPr>
        <w:t>(1)</w:t>
      </w:r>
      <w:r w:rsidRPr="008E1B47">
        <w:rPr>
          <w:rFonts w:cs="Arial"/>
          <w:szCs w:val="24"/>
        </w:rPr>
        <w:tab/>
        <w:t>Two</w:t>
      </w:r>
      <w:r w:rsidR="002C01A7">
        <w:rPr>
          <w:rFonts w:cs="Arial"/>
          <w:szCs w:val="24"/>
        </w:rPr>
        <w:t xml:space="preserve"> Church</w:t>
      </w:r>
      <w:r w:rsidRPr="008E1B47">
        <w:rPr>
          <w:rFonts w:cs="Arial"/>
          <w:szCs w:val="24"/>
        </w:rPr>
        <w:t xml:space="preserve"> representatives </w:t>
      </w:r>
    </w:p>
    <w:p w14:paraId="2180C71C" w14:textId="532A2E43" w:rsidR="00DB049B" w:rsidRDefault="00DB049B" w:rsidP="000E7B97">
      <w:pPr>
        <w:ind w:left="1980" w:hanging="540"/>
        <w:jc w:val="both"/>
        <w:rPr>
          <w:rFonts w:cs="Arial"/>
          <w:szCs w:val="24"/>
        </w:rPr>
      </w:pPr>
      <w:r w:rsidRPr="008E1B47">
        <w:rPr>
          <w:rFonts w:cs="Arial"/>
          <w:szCs w:val="24"/>
        </w:rPr>
        <w:tab/>
        <w:t>-</w:t>
      </w:r>
      <w:r w:rsidR="00EE363E">
        <w:rPr>
          <w:rFonts w:cs="Arial"/>
          <w:szCs w:val="24"/>
        </w:rPr>
        <w:t xml:space="preserve"> </w:t>
      </w:r>
      <w:r w:rsidRPr="008E1B47">
        <w:rPr>
          <w:rFonts w:cs="Arial"/>
          <w:szCs w:val="24"/>
        </w:rPr>
        <w:t>Reverend P Reece/Vacancy</w:t>
      </w:r>
    </w:p>
    <w:p w14:paraId="3805F66F" w14:textId="77777777" w:rsidR="00EE363E" w:rsidRPr="008E1B47" w:rsidRDefault="00EE363E" w:rsidP="000E7B97">
      <w:pPr>
        <w:ind w:left="1980" w:hanging="540"/>
        <w:jc w:val="both"/>
        <w:rPr>
          <w:rFonts w:cs="Arial"/>
          <w:szCs w:val="24"/>
        </w:rPr>
      </w:pPr>
    </w:p>
    <w:p w14:paraId="64633511" w14:textId="77777777" w:rsidR="00DB049B" w:rsidRPr="008E1B47" w:rsidRDefault="00DB049B" w:rsidP="000E7B97">
      <w:pPr>
        <w:ind w:left="1980" w:hanging="540"/>
        <w:jc w:val="both"/>
        <w:rPr>
          <w:rFonts w:cs="Arial"/>
          <w:szCs w:val="24"/>
        </w:rPr>
      </w:pPr>
      <w:r w:rsidRPr="008E1B47">
        <w:rPr>
          <w:rFonts w:cs="Arial"/>
          <w:szCs w:val="24"/>
        </w:rPr>
        <w:t>(2)</w:t>
      </w:r>
      <w:r w:rsidRPr="008E1B47">
        <w:rPr>
          <w:rFonts w:cs="Arial"/>
          <w:szCs w:val="24"/>
        </w:rPr>
        <w:tab/>
        <w:t>Two representatives of Parent Governors</w:t>
      </w:r>
    </w:p>
    <w:p w14:paraId="4CF7BA59" w14:textId="77777777" w:rsidR="00DB049B" w:rsidRPr="008E1B47" w:rsidRDefault="00DB049B" w:rsidP="000E7B97">
      <w:pPr>
        <w:ind w:left="1980" w:hanging="540"/>
        <w:jc w:val="both"/>
        <w:rPr>
          <w:rFonts w:cs="Arial"/>
          <w:szCs w:val="24"/>
        </w:rPr>
      </w:pPr>
      <w:r w:rsidRPr="008E1B47">
        <w:rPr>
          <w:rFonts w:cs="Arial"/>
          <w:szCs w:val="24"/>
        </w:rPr>
        <w:tab/>
        <w:t>- Ms M Trivedi (Primary)/Vacancy (Secondary)</w:t>
      </w:r>
    </w:p>
    <w:p w14:paraId="56B4B4C2" w14:textId="77777777" w:rsidR="00DB049B" w:rsidRPr="008E1B47" w:rsidRDefault="00DB049B" w:rsidP="000E7B97">
      <w:pPr>
        <w:tabs>
          <w:tab w:val="left" w:pos="1440"/>
        </w:tabs>
        <w:spacing w:line="200" w:lineRule="exact"/>
        <w:ind w:left="1440" w:hanging="1440"/>
        <w:jc w:val="both"/>
        <w:rPr>
          <w:szCs w:val="24"/>
        </w:rPr>
      </w:pPr>
    </w:p>
    <w:p w14:paraId="6D875ACE" w14:textId="77777777" w:rsidR="00DB049B" w:rsidRPr="00B605C4" w:rsidRDefault="00DB049B" w:rsidP="000E7B97">
      <w:pPr>
        <w:spacing w:before="480"/>
        <w:jc w:val="both"/>
        <w:rPr>
          <w:rFonts w:cs="Arial"/>
          <w:szCs w:val="24"/>
        </w:rPr>
      </w:pPr>
      <w:r w:rsidRPr="008E1B47">
        <w:rPr>
          <w:rFonts w:cs="Arial"/>
          <w:szCs w:val="24"/>
        </w:rPr>
        <w:t xml:space="preserve">CH </w:t>
      </w:r>
      <w:r w:rsidRPr="008E1B47">
        <w:rPr>
          <w:rFonts w:cs="Arial"/>
          <w:szCs w:val="24"/>
        </w:rPr>
        <w:tab/>
      </w:r>
      <w:r w:rsidRPr="00B605C4">
        <w:rPr>
          <w:rFonts w:cs="Arial"/>
          <w:szCs w:val="24"/>
        </w:rPr>
        <w:tab/>
        <w:t>= Chair</w:t>
      </w:r>
    </w:p>
    <w:p w14:paraId="7CB372FD" w14:textId="4D627D3F" w:rsidR="00DB049B" w:rsidRPr="00B605C4" w:rsidRDefault="00DB049B" w:rsidP="000E7B97">
      <w:pPr>
        <w:tabs>
          <w:tab w:val="left" w:pos="1440"/>
        </w:tabs>
        <w:ind w:left="1418" w:hanging="1418"/>
        <w:jc w:val="both"/>
        <w:rPr>
          <w:szCs w:val="24"/>
        </w:rPr>
      </w:pPr>
    </w:p>
    <w:p w14:paraId="0B4F5251" w14:textId="77777777" w:rsidR="00DB049B" w:rsidRPr="00B605C4" w:rsidRDefault="00DB049B" w:rsidP="000E7B97">
      <w:pPr>
        <w:tabs>
          <w:tab w:val="left" w:pos="1440"/>
        </w:tabs>
        <w:spacing w:line="200" w:lineRule="exact"/>
        <w:ind w:left="1440" w:hanging="1440"/>
        <w:jc w:val="both"/>
        <w:rPr>
          <w:sz w:val="20"/>
        </w:rPr>
      </w:pPr>
    </w:p>
    <w:p w14:paraId="7D15B162" w14:textId="77777777" w:rsidR="00DB049B" w:rsidRPr="00B605C4" w:rsidRDefault="00DB049B" w:rsidP="000E7B97">
      <w:pPr>
        <w:autoSpaceDE w:val="0"/>
        <w:autoSpaceDN w:val="0"/>
        <w:adjustRightInd w:val="0"/>
        <w:ind w:left="1440" w:hanging="1440"/>
        <w:jc w:val="both"/>
        <w:rPr>
          <w:rFonts w:cs="Arial"/>
          <w:b/>
          <w:bCs/>
          <w:szCs w:val="24"/>
          <w:lang w:val="en-US"/>
        </w:rPr>
      </w:pPr>
      <w:r w:rsidRPr="00B605C4">
        <w:rPr>
          <w:rFonts w:cs="Arial"/>
          <w:bCs/>
          <w:szCs w:val="24"/>
          <w:lang w:val="fr-FR"/>
        </w:rPr>
        <w:t>†</w:t>
      </w:r>
      <w:r w:rsidRPr="00B605C4">
        <w:rPr>
          <w:rFonts w:cs="Arial"/>
          <w:b/>
          <w:bCs/>
          <w:szCs w:val="24"/>
          <w:lang w:val="en-US"/>
        </w:rPr>
        <w:t xml:space="preserve"> </w:t>
      </w:r>
      <w:r w:rsidRPr="00B605C4">
        <w:rPr>
          <w:rFonts w:cs="Arial"/>
          <w:b/>
          <w:bCs/>
          <w:szCs w:val="24"/>
          <w:lang w:val="en-US"/>
        </w:rPr>
        <w:tab/>
        <w:t xml:space="preserve">[Note:  </w:t>
      </w:r>
      <w:r w:rsidRPr="00B605C4">
        <w:rPr>
          <w:rFonts w:cs="Arial"/>
          <w:szCs w:val="24"/>
          <w:lang w:val="en-US"/>
        </w:rPr>
        <w:t xml:space="preserve">The appointed number of Reserves for each Group is in excess of the Committee Procedure Rule 3.2 provision, by virtue of Resolution 17:  Overview </w:t>
      </w:r>
      <w:r w:rsidRPr="00B605C4">
        <w:rPr>
          <w:rFonts w:cs="Arial"/>
          <w:szCs w:val="24"/>
        </w:rPr>
        <w:t>and</w:t>
      </w:r>
      <w:r w:rsidRPr="00B605C4">
        <w:rPr>
          <w:rFonts w:cs="Arial"/>
          <w:szCs w:val="24"/>
          <w:lang w:val="en-US"/>
        </w:rPr>
        <w:t xml:space="preserve"> Scrutiny Committee (18.7.06).</w:t>
      </w:r>
      <w:r w:rsidRPr="00B605C4">
        <w:rPr>
          <w:rFonts w:cs="Arial"/>
          <w:b/>
          <w:bCs/>
          <w:szCs w:val="24"/>
          <w:lang w:val="en-US"/>
        </w:rPr>
        <w:t>]</w:t>
      </w:r>
    </w:p>
    <w:p w14:paraId="686894EA" w14:textId="77777777" w:rsidR="008519AC" w:rsidRDefault="008519AC" w:rsidP="000E7B97">
      <w:pPr>
        <w:jc w:val="both"/>
      </w:pPr>
    </w:p>
    <w:sectPr w:rsidR="008519AC"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D5BC" w14:textId="77777777" w:rsidR="00861BD8" w:rsidRDefault="00861BD8">
      <w:r>
        <w:separator/>
      </w:r>
    </w:p>
  </w:endnote>
  <w:endnote w:type="continuationSeparator" w:id="0">
    <w:p w14:paraId="085A14CB" w14:textId="77777777" w:rsidR="00861BD8" w:rsidRDefault="0086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3925" w14:textId="77777777" w:rsidR="00861BD8" w:rsidRDefault="00861BD8">
      <w:r>
        <w:separator/>
      </w:r>
    </w:p>
  </w:footnote>
  <w:footnote w:type="continuationSeparator" w:id="0">
    <w:p w14:paraId="2DEF1521" w14:textId="77777777" w:rsidR="00861BD8" w:rsidRDefault="0086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2EE59F6"/>
    <w:multiLevelType w:val="hybridMultilevel"/>
    <w:tmpl w:val="FAF04B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591847">
    <w:abstractNumId w:val="15"/>
  </w:num>
  <w:num w:numId="2" w16cid:durableId="1068383380">
    <w:abstractNumId w:val="11"/>
  </w:num>
  <w:num w:numId="3" w16cid:durableId="564344059">
    <w:abstractNumId w:val="14"/>
  </w:num>
  <w:num w:numId="4" w16cid:durableId="138233542">
    <w:abstractNumId w:val="1"/>
  </w:num>
  <w:num w:numId="5" w16cid:durableId="1082072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1323816">
    <w:abstractNumId w:val="6"/>
  </w:num>
  <w:num w:numId="7" w16cid:durableId="1206454792">
    <w:abstractNumId w:val="7"/>
  </w:num>
  <w:num w:numId="8" w16cid:durableId="1045837360">
    <w:abstractNumId w:val="4"/>
  </w:num>
  <w:num w:numId="9" w16cid:durableId="194543101">
    <w:abstractNumId w:val="3"/>
  </w:num>
  <w:num w:numId="10" w16cid:durableId="1091387243">
    <w:abstractNumId w:val="13"/>
  </w:num>
  <w:num w:numId="11" w16cid:durableId="792747099">
    <w:abstractNumId w:val="16"/>
  </w:num>
  <w:num w:numId="12" w16cid:durableId="90710304">
    <w:abstractNumId w:val="12"/>
  </w:num>
  <w:num w:numId="13" w16cid:durableId="968827718">
    <w:abstractNumId w:val="2"/>
  </w:num>
  <w:num w:numId="14" w16cid:durableId="354817937">
    <w:abstractNumId w:val="5"/>
  </w:num>
  <w:num w:numId="15" w16cid:durableId="7562432">
    <w:abstractNumId w:val="10"/>
  </w:num>
  <w:num w:numId="16" w16cid:durableId="2129542785">
    <w:abstractNumId w:val="9"/>
  </w:num>
  <w:num w:numId="17" w16cid:durableId="2110083473">
    <w:abstractNumId w:val="8"/>
  </w:num>
  <w:num w:numId="18" w16cid:durableId="146272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06BC"/>
    <w:rsid w:val="000633A2"/>
    <w:rsid w:val="00071EB4"/>
    <w:rsid w:val="00077298"/>
    <w:rsid w:val="000A58A1"/>
    <w:rsid w:val="000A6659"/>
    <w:rsid w:val="000B0E6F"/>
    <w:rsid w:val="000B6DBB"/>
    <w:rsid w:val="000D2BF2"/>
    <w:rsid w:val="000D5870"/>
    <w:rsid w:val="000E7B97"/>
    <w:rsid w:val="000F65C0"/>
    <w:rsid w:val="00107057"/>
    <w:rsid w:val="00115BCF"/>
    <w:rsid w:val="001349A2"/>
    <w:rsid w:val="001352DD"/>
    <w:rsid w:val="0015050D"/>
    <w:rsid w:val="001939BA"/>
    <w:rsid w:val="001A6EB0"/>
    <w:rsid w:val="001B441D"/>
    <w:rsid w:val="001C5225"/>
    <w:rsid w:val="001E0219"/>
    <w:rsid w:val="001F753F"/>
    <w:rsid w:val="00213BE7"/>
    <w:rsid w:val="00231A1D"/>
    <w:rsid w:val="0023434A"/>
    <w:rsid w:val="00235CD0"/>
    <w:rsid w:val="00244120"/>
    <w:rsid w:val="00293F9F"/>
    <w:rsid w:val="00296F0D"/>
    <w:rsid w:val="002A2389"/>
    <w:rsid w:val="002C01A7"/>
    <w:rsid w:val="002C08E2"/>
    <w:rsid w:val="002C1794"/>
    <w:rsid w:val="002D2FC5"/>
    <w:rsid w:val="002E6637"/>
    <w:rsid w:val="002E77E3"/>
    <w:rsid w:val="002F2FCB"/>
    <w:rsid w:val="002F597F"/>
    <w:rsid w:val="003133AA"/>
    <w:rsid w:val="003231E1"/>
    <w:rsid w:val="00332947"/>
    <w:rsid w:val="00333EB4"/>
    <w:rsid w:val="00334C48"/>
    <w:rsid w:val="00345915"/>
    <w:rsid w:val="00365D29"/>
    <w:rsid w:val="00374F22"/>
    <w:rsid w:val="003C0090"/>
    <w:rsid w:val="003D2FFE"/>
    <w:rsid w:val="003D5F0A"/>
    <w:rsid w:val="003E7903"/>
    <w:rsid w:val="003F6E52"/>
    <w:rsid w:val="00400032"/>
    <w:rsid w:val="0042394B"/>
    <w:rsid w:val="00446AA3"/>
    <w:rsid w:val="0047316F"/>
    <w:rsid w:val="00473B08"/>
    <w:rsid w:val="00473F32"/>
    <w:rsid w:val="00474B5F"/>
    <w:rsid w:val="004A3CE6"/>
    <w:rsid w:val="004A4A1D"/>
    <w:rsid w:val="004B2C9D"/>
    <w:rsid w:val="004B4A47"/>
    <w:rsid w:val="004E19AF"/>
    <w:rsid w:val="004E667D"/>
    <w:rsid w:val="004E6AF9"/>
    <w:rsid w:val="004F0E44"/>
    <w:rsid w:val="00500DE9"/>
    <w:rsid w:val="005031DF"/>
    <w:rsid w:val="0053187C"/>
    <w:rsid w:val="00597314"/>
    <w:rsid w:val="005A61AF"/>
    <w:rsid w:val="005D0886"/>
    <w:rsid w:val="005D5B93"/>
    <w:rsid w:val="005E11BB"/>
    <w:rsid w:val="005E384D"/>
    <w:rsid w:val="005E756C"/>
    <w:rsid w:val="005F2181"/>
    <w:rsid w:val="005F724B"/>
    <w:rsid w:val="00606705"/>
    <w:rsid w:val="00616CBB"/>
    <w:rsid w:val="00625DFF"/>
    <w:rsid w:val="00626D8B"/>
    <w:rsid w:val="0063072B"/>
    <w:rsid w:val="00662891"/>
    <w:rsid w:val="006628B7"/>
    <w:rsid w:val="00675FCB"/>
    <w:rsid w:val="006A0B87"/>
    <w:rsid w:val="006B3942"/>
    <w:rsid w:val="006C3914"/>
    <w:rsid w:val="006C4D4C"/>
    <w:rsid w:val="006D3648"/>
    <w:rsid w:val="006F1E58"/>
    <w:rsid w:val="006F73B4"/>
    <w:rsid w:val="00717E8A"/>
    <w:rsid w:val="0074184E"/>
    <w:rsid w:val="00743829"/>
    <w:rsid w:val="00755F8D"/>
    <w:rsid w:val="007810E8"/>
    <w:rsid w:val="007855AE"/>
    <w:rsid w:val="00796503"/>
    <w:rsid w:val="007B0CB6"/>
    <w:rsid w:val="007D2BDA"/>
    <w:rsid w:val="007D56C8"/>
    <w:rsid w:val="007E3934"/>
    <w:rsid w:val="007E7303"/>
    <w:rsid w:val="007F0E42"/>
    <w:rsid w:val="007F4786"/>
    <w:rsid w:val="008212A0"/>
    <w:rsid w:val="00827B86"/>
    <w:rsid w:val="00837F53"/>
    <w:rsid w:val="008519AC"/>
    <w:rsid w:val="00861BD8"/>
    <w:rsid w:val="00862DDC"/>
    <w:rsid w:val="00870853"/>
    <w:rsid w:val="00870C27"/>
    <w:rsid w:val="00875E9D"/>
    <w:rsid w:val="008A7858"/>
    <w:rsid w:val="008C26C4"/>
    <w:rsid w:val="008D1750"/>
    <w:rsid w:val="008D7800"/>
    <w:rsid w:val="008E2910"/>
    <w:rsid w:val="008E4913"/>
    <w:rsid w:val="00900464"/>
    <w:rsid w:val="0090100E"/>
    <w:rsid w:val="00912904"/>
    <w:rsid w:val="009310F3"/>
    <w:rsid w:val="0093767E"/>
    <w:rsid w:val="009633FA"/>
    <w:rsid w:val="00972A02"/>
    <w:rsid w:val="0097544B"/>
    <w:rsid w:val="0099517C"/>
    <w:rsid w:val="0099782B"/>
    <w:rsid w:val="009A0937"/>
    <w:rsid w:val="009A5F74"/>
    <w:rsid w:val="009A7B83"/>
    <w:rsid w:val="009B2ECD"/>
    <w:rsid w:val="009B7914"/>
    <w:rsid w:val="009F2038"/>
    <w:rsid w:val="009F3328"/>
    <w:rsid w:val="009F430B"/>
    <w:rsid w:val="00A160B2"/>
    <w:rsid w:val="00A16271"/>
    <w:rsid w:val="00A17BED"/>
    <w:rsid w:val="00A566E7"/>
    <w:rsid w:val="00A630BF"/>
    <w:rsid w:val="00A73B25"/>
    <w:rsid w:val="00A940D3"/>
    <w:rsid w:val="00A96FCA"/>
    <w:rsid w:val="00AA4BE8"/>
    <w:rsid w:val="00AA5C97"/>
    <w:rsid w:val="00AA7B7E"/>
    <w:rsid w:val="00AC0AAB"/>
    <w:rsid w:val="00AC7BA9"/>
    <w:rsid w:val="00AE5240"/>
    <w:rsid w:val="00B0425E"/>
    <w:rsid w:val="00B50356"/>
    <w:rsid w:val="00B72373"/>
    <w:rsid w:val="00B900E2"/>
    <w:rsid w:val="00B9118E"/>
    <w:rsid w:val="00B920CE"/>
    <w:rsid w:val="00BD6115"/>
    <w:rsid w:val="00BD684A"/>
    <w:rsid w:val="00C165AA"/>
    <w:rsid w:val="00C173DC"/>
    <w:rsid w:val="00C32DAE"/>
    <w:rsid w:val="00C40228"/>
    <w:rsid w:val="00C40E24"/>
    <w:rsid w:val="00C52595"/>
    <w:rsid w:val="00C61B80"/>
    <w:rsid w:val="00C92D9A"/>
    <w:rsid w:val="00C96EF5"/>
    <w:rsid w:val="00CC02E2"/>
    <w:rsid w:val="00D0506F"/>
    <w:rsid w:val="00D25064"/>
    <w:rsid w:val="00D32B51"/>
    <w:rsid w:val="00D34668"/>
    <w:rsid w:val="00D3740E"/>
    <w:rsid w:val="00D40335"/>
    <w:rsid w:val="00D82F57"/>
    <w:rsid w:val="00D841A5"/>
    <w:rsid w:val="00D914D2"/>
    <w:rsid w:val="00D94D33"/>
    <w:rsid w:val="00DA25DB"/>
    <w:rsid w:val="00DB049B"/>
    <w:rsid w:val="00DB0791"/>
    <w:rsid w:val="00DD4251"/>
    <w:rsid w:val="00DD7DF6"/>
    <w:rsid w:val="00E02B50"/>
    <w:rsid w:val="00E03F11"/>
    <w:rsid w:val="00E06872"/>
    <w:rsid w:val="00E06DC8"/>
    <w:rsid w:val="00E220B5"/>
    <w:rsid w:val="00E33D93"/>
    <w:rsid w:val="00E440A0"/>
    <w:rsid w:val="00E609EF"/>
    <w:rsid w:val="00E71B51"/>
    <w:rsid w:val="00E8515B"/>
    <w:rsid w:val="00E90AFF"/>
    <w:rsid w:val="00EE363E"/>
    <w:rsid w:val="00EF2F91"/>
    <w:rsid w:val="00F12253"/>
    <w:rsid w:val="00F33EE3"/>
    <w:rsid w:val="00F4213B"/>
    <w:rsid w:val="00F801D5"/>
    <w:rsid w:val="00F806B8"/>
    <w:rsid w:val="00F849ED"/>
    <w:rsid w:val="00F92398"/>
    <w:rsid w:val="00F96B56"/>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d7bf0660-0b03-4216-b364-8c8e0fe76916"/>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8fdd5af-7127-4349-9ef8-8ec3aedfe79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86AA85-BB2F-4C20-ADD5-0C11B3CD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1181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6</cp:revision>
  <cp:lastPrinted>2007-07-12T09:53:00Z</cp:lastPrinted>
  <dcterms:created xsi:type="dcterms:W3CDTF">2023-05-31T16:59:00Z</dcterms:created>
  <dcterms:modified xsi:type="dcterms:W3CDTF">2023-06-02T14:15:00Z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