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B52E40">
      <w:pPr>
        <w:spacing w:after="480"/>
        <w:jc w:val="both"/>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B52E40">
            <w:pPr>
              <w:pStyle w:val="Heading1"/>
              <w:spacing w:after="240"/>
              <w:jc w:val="both"/>
              <w:outlineLvl w:val="0"/>
            </w:pPr>
            <w:r>
              <w:t>Report f</w:t>
            </w:r>
            <w:r w:rsidRPr="00C869F3">
              <w:t>or:</w:t>
            </w:r>
          </w:p>
        </w:tc>
        <w:tc>
          <w:tcPr>
            <w:tcW w:w="4921" w:type="dxa"/>
            <w:tcBorders>
              <w:bottom w:val="single" w:sz="18" w:space="0" w:color="auto"/>
            </w:tcBorders>
          </w:tcPr>
          <w:p w14:paraId="4A91C7BE" w14:textId="633A0B6C" w:rsidR="00A160B2" w:rsidRDefault="00B84A87" w:rsidP="00B52E40">
            <w:pPr>
              <w:pStyle w:val="Heading1"/>
              <w:outlineLvl w:val="0"/>
            </w:pPr>
            <w:r>
              <w:t>Pension Fund</w:t>
            </w:r>
            <w:r w:rsidR="00A160B2">
              <w:t xml:space="preserve"> Committee</w:t>
            </w:r>
          </w:p>
          <w:p w14:paraId="55A88F66" w14:textId="44D52632" w:rsidR="00A160B2" w:rsidRPr="00A160B2" w:rsidRDefault="00A160B2" w:rsidP="00B52E40">
            <w:pPr>
              <w:pStyle w:val="Heading1"/>
              <w:jc w:val="both"/>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B52E40">
            <w:pPr>
              <w:pStyle w:val="Infotext"/>
              <w:jc w:val="both"/>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B52E40">
            <w:pPr>
              <w:pStyle w:val="Infotext"/>
              <w:jc w:val="both"/>
              <w:rPr>
                <w:rFonts w:ascii="Arial Black" w:hAnsi="Arial Black" w:cs="Arial"/>
              </w:rPr>
            </w:pPr>
          </w:p>
        </w:tc>
        <w:tc>
          <w:tcPr>
            <w:tcW w:w="4921" w:type="dxa"/>
            <w:tcBorders>
              <w:top w:val="single" w:sz="18" w:space="0" w:color="auto"/>
            </w:tcBorders>
          </w:tcPr>
          <w:p w14:paraId="495EBCE8" w14:textId="009167F0" w:rsidR="00A160B2" w:rsidRPr="00B52E40" w:rsidRDefault="00BA36E3" w:rsidP="00B52E40">
            <w:pPr>
              <w:pStyle w:val="Infotext"/>
              <w:jc w:val="both"/>
              <w:rPr>
                <w:rFonts w:cs="Arial"/>
                <w:sz w:val="24"/>
                <w:szCs w:val="24"/>
              </w:rPr>
            </w:pPr>
            <w:r w:rsidRPr="00B52E40">
              <w:rPr>
                <w:rFonts w:cs="Arial"/>
                <w:sz w:val="24"/>
                <w:szCs w:val="24"/>
              </w:rPr>
              <w:t>23 November</w:t>
            </w:r>
            <w:r w:rsidR="00B84A87" w:rsidRPr="00B52E40">
              <w:rPr>
                <w:rFonts w:cs="Arial"/>
                <w:sz w:val="24"/>
                <w:szCs w:val="24"/>
              </w:rPr>
              <w:t xml:space="preserve"> 202</w:t>
            </w:r>
            <w:r w:rsidR="0056613F" w:rsidRPr="00B52E40">
              <w:rPr>
                <w:rFonts w:cs="Arial"/>
                <w:sz w:val="24"/>
                <w:szCs w:val="24"/>
              </w:rPr>
              <w:t>2</w:t>
            </w:r>
          </w:p>
        </w:tc>
      </w:tr>
      <w:tr w:rsidR="00A160B2" w14:paraId="79B879D4" w14:textId="77777777" w:rsidTr="007855AE">
        <w:tc>
          <w:tcPr>
            <w:tcW w:w="3388" w:type="dxa"/>
          </w:tcPr>
          <w:p w14:paraId="5EBA2504" w14:textId="77777777" w:rsidR="00A160B2" w:rsidRPr="00F92398" w:rsidRDefault="00A160B2" w:rsidP="00B52E40">
            <w:pPr>
              <w:pStyle w:val="Infotext"/>
              <w:jc w:val="both"/>
              <w:rPr>
                <w:rFonts w:ascii="Arial Black" w:hAnsi="Arial Black" w:cs="Arial"/>
              </w:rPr>
            </w:pPr>
            <w:r w:rsidRPr="00F92398">
              <w:rPr>
                <w:rFonts w:ascii="Arial Black" w:hAnsi="Arial Black" w:cs="Arial"/>
              </w:rPr>
              <w:t>Subject:</w:t>
            </w:r>
          </w:p>
          <w:p w14:paraId="262AF561" w14:textId="77777777" w:rsidR="00A160B2" w:rsidRPr="00F92398" w:rsidRDefault="00A160B2" w:rsidP="00B52E40">
            <w:pPr>
              <w:pStyle w:val="Infotext"/>
              <w:jc w:val="both"/>
              <w:rPr>
                <w:rFonts w:ascii="Arial Black" w:hAnsi="Arial Black"/>
              </w:rPr>
            </w:pPr>
          </w:p>
        </w:tc>
        <w:tc>
          <w:tcPr>
            <w:tcW w:w="4921" w:type="dxa"/>
          </w:tcPr>
          <w:p w14:paraId="5914456E" w14:textId="4041A28E" w:rsidR="00A160B2" w:rsidRPr="00B52E40" w:rsidRDefault="00BA36E3" w:rsidP="00B52E40">
            <w:pPr>
              <w:pStyle w:val="Infotext"/>
              <w:jc w:val="both"/>
              <w:rPr>
                <w:rFonts w:cs="Arial"/>
                <w:sz w:val="24"/>
                <w:szCs w:val="24"/>
              </w:rPr>
            </w:pPr>
            <w:r w:rsidRPr="00B52E40">
              <w:rPr>
                <w:rFonts w:cs="Arial"/>
                <w:sz w:val="24"/>
                <w:szCs w:val="24"/>
              </w:rPr>
              <w:t>Draft Responsible Investment Policy</w:t>
            </w:r>
          </w:p>
        </w:tc>
      </w:tr>
      <w:tr w:rsidR="00A160B2" w14:paraId="3A5E0F07" w14:textId="77777777" w:rsidTr="007855AE">
        <w:tc>
          <w:tcPr>
            <w:tcW w:w="3388" w:type="dxa"/>
          </w:tcPr>
          <w:p w14:paraId="3526B74C" w14:textId="77777777" w:rsidR="00A160B2" w:rsidRPr="00F92398" w:rsidRDefault="00A160B2" w:rsidP="00B52E40">
            <w:pPr>
              <w:pStyle w:val="Infotext"/>
              <w:jc w:val="both"/>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B52E40">
            <w:pPr>
              <w:pStyle w:val="Infotext"/>
              <w:jc w:val="both"/>
              <w:rPr>
                <w:rFonts w:ascii="Arial Black" w:hAnsi="Arial Black" w:cs="Arial"/>
              </w:rPr>
            </w:pPr>
          </w:p>
        </w:tc>
        <w:tc>
          <w:tcPr>
            <w:tcW w:w="4921" w:type="dxa"/>
          </w:tcPr>
          <w:p w14:paraId="63C5F91B" w14:textId="7D0852B4" w:rsidR="00A160B2" w:rsidRPr="00B52E40" w:rsidRDefault="00E2344F" w:rsidP="00B52E40">
            <w:pPr>
              <w:pStyle w:val="Infotext"/>
              <w:jc w:val="both"/>
              <w:rPr>
                <w:rFonts w:cs="Arial"/>
                <w:sz w:val="24"/>
                <w:szCs w:val="24"/>
              </w:rPr>
            </w:pPr>
            <w:r w:rsidRPr="00B52E40">
              <w:rPr>
                <w:rFonts w:cs="Arial"/>
                <w:sz w:val="24"/>
                <w:szCs w:val="24"/>
              </w:rPr>
              <w:t>Dawn Calvert – Director of Finance and Assurance</w:t>
            </w:r>
          </w:p>
          <w:p w14:paraId="3CF266C9" w14:textId="77777777" w:rsidR="00A160B2" w:rsidRPr="00B52E40" w:rsidRDefault="00A160B2" w:rsidP="00B52E40">
            <w:pPr>
              <w:pStyle w:val="Infotext"/>
              <w:jc w:val="both"/>
              <w:rPr>
                <w:rFonts w:cs="Arial"/>
                <w:sz w:val="24"/>
                <w:szCs w:val="24"/>
              </w:rPr>
            </w:pPr>
          </w:p>
        </w:tc>
      </w:tr>
      <w:tr w:rsidR="00A160B2" w14:paraId="7AFCAE74" w14:textId="77777777" w:rsidTr="007855AE">
        <w:tc>
          <w:tcPr>
            <w:tcW w:w="3388" w:type="dxa"/>
          </w:tcPr>
          <w:p w14:paraId="4573497F" w14:textId="77777777" w:rsidR="00A160B2" w:rsidRPr="00F92398" w:rsidRDefault="00A160B2" w:rsidP="00B52E40">
            <w:pPr>
              <w:pStyle w:val="Infotext"/>
              <w:jc w:val="both"/>
              <w:rPr>
                <w:rFonts w:ascii="Arial Black" w:hAnsi="Arial Black" w:cs="Arial"/>
              </w:rPr>
            </w:pPr>
            <w:r w:rsidRPr="00F92398">
              <w:rPr>
                <w:rFonts w:ascii="Arial Black" w:hAnsi="Arial Black" w:cs="Arial"/>
              </w:rPr>
              <w:t>Exempt:</w:t>
            </w:r>
          </w:p>
          <w:p w14:paraId="72D771B0" w14:textId="77777777" w:rsidR="00A160B2" w:rsidRPr="00F92398" w:rsidRDefault="00A160B2" w:rsidP="00B52E40">
            <w:pPr>
              <w:pStyle w:val="Infotext"/>
              <w:jc w:val="both"/>
              <w:rPr>
                <w:rFonts w:ascii="Arial Black" w:hAnsi="Arial Black" w:cs="Arial"/>
              </w:rPr>
            </w:pPr>
          </w:p>
        </w:tc>
        <w:tc>
          <w:tcPr>
            <w:tcW w:w="4921" w:type="dxa"/>
          </w:tcPr>
          <w:p w14:paraId="4C873B59" w14:textId="47A381B6" w:rsidR="00A160B2" w:rsidRPr="00B52E40" w:rsidRDefault="00BA36E3" w:rsidP="00B52E40">
            <w:pPr>
              <w:jc w:val="both"/>
              <w:rPr>
                <w:rFonts w:cs="Arial"/>
                <w:szCs w:val="24"/>
              </w:rPr>
            </w:pPr>
            <w:r w:rsidRPr="00B52E40">
              <w:rPr>
                <w:rFonts w:cs="Arial"/>
                <w:szCs w:val="24"/>
              </w:rPr>
              <w:t>No</w:t>
            </w:r>
          </w:p>
        </w:tc>
      </w:tr>
      <w:tr w:rsidR="00A160B2" w14:paraId="521D9222" w14:textId="77777777" w:rsidTr="007855AE">
        <w:tc>
          <w:tcPr>
            <w:tcW w:w="3388" w:type="dxa"/>
          </w:tcPr>
          <w:p w14:paraId="4ABD9246" w14:textId="77777777" w:rsidR="00A160B2" w:rsidRDefault="00A160B2" w:rsidP="00B52E40">
            <w:pPr>
              <w:pStyle w:val="Infotext"/>
              <w:jc w:val="both"/>
              <w:rPr>
                <w:rFonts w:ascii="Arial Black" w:hAnsi="Arial Black" w:cs="Arial"/>
              </w:rPr>
            </w:pPr>
            <w:r>
              <w:rPr>
                <w:rFonts w:ascii="Arial Black" w:hAnsi="Arial Black" w:cs="Arial"/>
              </w:rPr>
              <w:t>Wards affected:</w:t>
            </w:r>
          </w:p>
          <w:p w14:paraId="65A16444" w14:textId="77777777" w:rsidR="00A160B2" w:rsidRPr="00F92398" w:rsidRDefault="00A160B2" w:rsidP="00B52E40">
            <w:pPr>
              <w:pStyle w:val="Infotext"/>
              <w:jc w:val="both"/>
              <w:rPr>
                <w:rFonts w:ascii="Arial Black" w:hAnsi="Arial Black" w:cs="Arial"/>
              </w:rPr>
            </w:pPr>
          </w:p>
        </w:tc>
        <w:tc>
          <w:tcPr>
            <w:tcW w:w="4921" w:type="dxa"/>
          </w:tcPr>
          <w:p w14:paraId="6CD568AC" w14:textId="62B97F28" w:rsidR="00A160B2" w:rsidRPr="00B52E40" w:rsidRDefault="00180D94" w:rsidP="00B52E40">
            <w:pPr>
              <w:pStyle w:val="Infotext"/>
              <w:jc w:val="both"/>
              <w:rPr>
                <w:bCs/>
                <w:sz w:val="24"/>
                <w:szCs w:val="24"/>
              </w:rPr>
            </w:pPr>
            <w:r w:rsidRPr="00B52E40">
              <w:rPr>
                <w:bCs/>
                <w:sz w:val="24"/>
                <w:szCs w:val="24"/>
              </w:rPr>
              <w:t>None</w:t>
            </w:r>
          </w:p>
        </w:tc>
      </w:tr>
      <w:tr w:rsidR="00A160B2" w14:paraId="7C35C184" w14:textId="77777777" w:rsidTr="007855AE">
        <w:tc>
          <w:tcPr>
            <w:tcW w:w="3388" w:type="dxa"/>
          </w:tcPr>
          <w:p w14:paraId="537C01BC" w14:textId="77777777" w:rsidR="00A160B2" w:rsidRPr="00F92398" w:rsidRDefault="00A160B2" w:rsidP="00B52E40">
            <w:pPr>
              <w:pStyle w:val="Infotext"/>
              <w:jc w:val="both"/>
              <w:rPr>
                <w:rFonts w:ascii="Arial Black" w:hAnsi="Arial Black" w:cs="Arial"/>
              </w:rPr>
            </w:pPr>
          </w:p>
          <w:p w14:paraId="575B6BE7" w14:textId="77777777" w:rsidR="00A160B2" w:rsidRPr="00F92398" w:rsidRDefault="00A160B2" w:rsidP="00B52E40">
            <w:pPr>
              <w:pStyle w:val="Infotext"/>
              <w:jc w:val="both"/>
              <w:rPr>
                <w:rFonts w:ascii="Arial Black" w:hAnsi="Arial Black" w:cs="Arial"/>
              </w:rPr>
            </w:pPr>
            <w:r w:rsidRPr="00F92398">
              <w:rPr>
                <w:rFonts w:ascii="Arial Black" w:hAnsi="Arial Black" w:cs="Arial"/>
              </w:rPr>
              <w:t>Enclosures:</w:t>
            </w:r>
          </w:p>
          <w:p w14:paraId="69475841" w14:textId="77777777" w:rsidR="00A160B2" w:rsidRPr="00F92398" w:rsidRDefault="00A160B2" w:rsidP="00B52E40">
            <w:pPr>
              <w:pStyle w:val="Infotext"/>
              <w:jc w:val="both"/>
              <w:rPr>
                <w:rFonts w:ascii="Arial Black" w:hAnsi="Arial Black" w:cs="Arial"/>
              </w:rPr>
            </w:pPr>
          </w:p>
        </w:tc>
        <w:tc>
          <w:tcPr>
            <w:tcW w:w="4921" w:type="dxa"/>
          </w:tcPr>
          <w:p w14:paraId="71119F8F" w14:textId="77777777" w:rsidR="00A160B2" w:rsidRPr="00B52E40" w:rsidRDefault="00A160B2" w:rsidP="00B52E40">
            <w:pPr>
              <w:pStyle w:val="Infotext"/>
              <w:jc w:val="both"/>
              <w:rPr>
                <w:sz w:val="24"/>
                <w:szCs w:val="24"/>
              </w:rPr>
            </w:pPr>
          </w:p>
          <w:p w14:paraId="21B9AA9E" w14:textId="77777777" w:rsidR="00247C59" w:rsidRDefault="00247C59" w:rsidP="00B52E40">
            <w:pPr>
              <w:pStyle w:val="Infotext"/>
              <w:jc w:val="both"/>
              <w:rPr>
                <w:rFonts w:cs="Arial"/>
                <w:b/>
                <w:bCs/>
                <w:sz w:val="24"/>
                <w:szCs w:val="24"/>
              </w:rPr>
            </w:pPr>
          </w:p>
          <w:p w14:paraId="4C232B02" w14:textId="158DA663" w:rsidR="00922249" w:rsidRPr="00B52E40" w:rsidRDefault="006475EA" w:rsidP="00B52E40">
            <w:pPr>
              <w:pStyle w:val="Infotext"/>
              <w:jc w:val="both"/>
              <w:rPr>
                <w:sz w:val="24"/>
                <w:szCs w:val="24"/>
              </w:rPr>
            </w:pPr>
            <w:r w:rsidRPr="00B52E40">
              <w:rPr>
                <w:rFonts w:cs="Arial"/>
                <w:b/>
                <w:bCs/>
                <w:sz w:val="24"/>
                <w:szCs w:val="24"/>
              </w:rPr>
              <w:t>Appendix 1</w:t>
            </w:r>
            <w:r w:rsidRPr="00B52E40">
              <w:rPr>
                <w:rFonts w:cs="Arial"/>
                <w:sz w:val="24"/>
                <w:szCs w:val="24"/>
              </w:rPr>
              <w:t xml:space="preserve"> – </w:t>
            </w:r>
            <w:r w:rsidR="00BA36E3" w:rsidRPr="00B52E40">
              <w:rPr>
                <w:rFonts w:cs="Arial"/>
                <w:sz w:val="24"/>
                <w:szCs w:val="24"/>
              </w:rPr>
              <w:t>Draft Responsible Investment Policy</w:t>
            </w:r>
            <w:r w:rsidR="007D3A46" w:rsidRPr="00B52E40">
              <w:rPr>
                <w:rFonts w:cs="Arial"/>
                <w:sz w:val="24"/>
                <w:szCs w:val="24"/>
              </w:rPr>
              <w:t xml:space="preserve"> (Aon)</w:t>
            </w:r>
            <w:r w:rsidR="00935782">
              <w:rPr>
                <w:rFonts w:cs="Arial"/>
                <w:sz w:val="24"/>
                <w:szCs w:val="24"/>
              </w:rPr>
              <w:t xml:space="preserve"> – To Follow</w:t>
            </w:r>
          </w:p>
        </w:tc>
      </w:tr>
    </w:tbl>
    <w:p w14:paraId="18A939CB" w14:textId="7259CE31" w:rsidR="007855AE" w:rsidRDefault="007855AE" w:rsidP="00B52E40">
      <w:pPr>
        <w:jc w:val="both"/>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8"/>
      </w:tblGrid>
      <w:tr w:rsidR="00A160B2" w14:paraId="332F8595" w14:textId="77777777" w:rsidTr="003737C1">
        <w:trPr>
          <w:tblHeader/>
        </w:trPr>
        <w:tc>
          <w:tcPr>
            <w:tcW w:w="8528" w:type="dxa"/>
            <w:tcBorders>
              <w:top w:val="nil"/>
              <w:left w:val="nil"/>
              <w:bottom w:val="single" w:sz="4" w:space="0" w:color="auto"/>
              <w:right w:val="nil"/>
            </w:tcBorders>
          </w:tcPr>
          <w:p w14:paraId="47AF8288" w14:textId="77777777" w:rsidR="00A160B2" w:rsidRDefault="00A160B2" w:rsidP="00B52E40">
            <w:pPr>
              <w:pStyle w:val="Heading2"/>
              <w:spacing w:before="240" w:after="240"/>
              <w:jc w:val="both"/>
            </w:pPr>
            <w:r>
              <w:t>Section 1 – Summary and Recommendations</w:t>
            </w:r>
          </w:p>
        </w:tc>
      </w:tr>
      <w:tr w:rsidR="00A160B2" w14:paraId="281F4D12" w14:textId="77777777" w:rsidTr="003737C1">
        <w:trPr>
          <w:tblHeader/>
        </w:trPr>
        <w:tc>
          <w:tcPr>
            <w:tcW w:w="8528" w:type="dxa"/>
            <w:tcBorders>
              <w:left w:val="nil"/>
              <w:bottom w:val="nil"/>
              <w:right w:val="nil"/>
            </w:tcBorders>
          </w:tcPr>
          <w:p w14:paraId="188774C0" w14:textId="04BED41A" w:rsidR="006475EA" w:rsidRDefault="00BA36E3" w:rsidP="00B52E40">
            <w:pPr>
              <w:jc w:val="both"/>
              <w:rPr>
                <w:rFonts w:cs="Arial"/>
                <w:szCs w:val="24"/>
              </w:rPr>
            </w:pPr>
            <w:r>
              <w:t>Further to the recent training session, t</w:t>
            </w:r>
            <w:r w:rsidR="006475EA">
              <w:t xml:space="preserve">his report </w:t>
            </w:r>
            <w:r>
              <w:t xml:space="preserve">includes a draft Responsible Investment Policy for </w:t>
            </w:r>
            <w:r w:rsidR="006475EA">
              <w:t xml:space="preserve">the Committee </w:t>
            </w:r>
            <w:r>
              <w:t>to consider and approve.</w:t>
            </w:r>
            <w:r w:rsidR="006475EA">
              <w:rPr>
                <w:rFonts w:cs="Arial"/>
                <w:szCs w:val="24"/>
              </w:rPr>
              <w:t xml:space="preserve"> </w:t>
            </w:r>
          </w:p>
          <w:p w14:paraId="578AF043" w14:textId="77777777" w:rsidR="00B52E40" w:rsidRDefault="00B52E40" w:rsidP="00B52E40">
            <w:pPr>
              <w:pStyle w:val="Heading2"/>
              <w:spacing w:before="0"/>
              <w:jc w:val="both"/>
              <w:rPr>
                <w:sz w:val="28"/>
                <w:szCs w:val="28"/>
              </w:rPr>
            </w:pPr>
          </w:p>
          <w:p w14:paraId="2049D9D5" w14:textId="1F88A0BB" w:rsidR="00E2344F" w:rsidRPr="00E2344F" w:rsidRDefault="00E2344F" w:rsidP="00B52E40">
            <w:pPr>
              <w:pStyle w:val="Heading2"/>
              <w:spacing w:before="0"/>
              <w:jc w:val="both"/>
              <w:rPr>
                <w:sz w:val="28"/>
                <w:szCs w:val="28"/>
              </w:rPr>
            </w:pPr>
            <w:r w:rsidRPr="00E2344F">
              <w:rPr>
                <w:sz w:val="28"/>
                <w:szCs w:val="28"/>
              </w:rPr>
              <w:t xml:space="preserve">Recommendations: </w:t>
            </w:r>
          </w:p>
          <w:p w14:paraId="48693C90" w14:textId="77777777" w:rsidR="00B52E40" w:rsidRDefault="00E2344F" w:rsidP="00B52E40">
            <w:pPr>
              <w:jc w:val="both"/>
            </w:pPr>
            <w:r>
              <w:t xml:space="preserve">The Committee is recommended </w:t>
            </w:r>
            <w:r w:rsidR="00922249">
              <w:t>to</w:t>
            </w:r>
            <w:r w:rsidR="00B52E40">
              <w:t>:</w:t>
            </w:r>
          </w:p>
          <w:p w14:paraId="0CF8C3E2" w14:textId="472A9A2B" w:rsidR="007D3A46" w:rsidRDefault="00922249" w:rsidP="00B52E40">
            <w:pPr>
              <w:jc w:val="both"/>
            </w:pPr>
            <w:r>
              <w:t xml:space="preserve"> </w:t>
            </w:r>
          </w:p>
          <w:p w14:paraId="09B72205" w14:textId="40EFB9B1" w:rsidR="007D3A46" w:rsidRDefault="007D3A46" w:rsidP="00B52E40">
            <w:pPr>
              <w:pStyle w:val="ListParagraph"/>
              <w:numPr>
                <w:ilvl w:val="0"/>
                <w:numId w:val="29"/>
              </w:numPr>
              <w:ind w:left="357" w:hanging="357"/>
              <w:jc w:val="both"/>
              <w:rPr>
                <w:sz w:val="24"/>
                <w:szCs w:val="24"/>
              </w:rPr>
            </w:pPr>
            <w:r w:rsidRPr="007D42A4">
              <w:rPr>
                <w:sz w:val="24"/>
                <w:szCs w:val="24"/>
              </w:rPr>
              <w:t xml:space="preserve">Consider the report and </w:t>
            </w:r>
            <w:r w:rsidR="00BA36E3">
              <w:rPr>
                <w:sz w:val="24"/>
                <w:szCs w:val="24"/>
              </w:rPr>
              <w:t>draft Responsible Investment Policy</w:t>
            </w:r>
            <w:r w:rsidRPr="007D42A4">
              <w:rPr>
                <w:sz w:val="24"/>
                <w:szCs w:val="24"/>
              </w:rPr>
              <w:t xml:space="preserve"> from Aon</w:t>
            </w:r>
          </w:p>
          <w:p w14:paraId="47B38841" w14:textId="77777777" w:rsidR="00B52E40" w:rsidRPr="007D42A4" w:rsidRDefault="00B52E40" w:rsidP="00B52E40">
            <w:pPr>
              <w:pStyle w:val="ListParagraph"/>
              <w:ind w:left="357"/>
              <w:jc w:val="both"/>
              <w:rPr>
                <w:sz w:val="24"/>
                <w:szCs w:val="24"/>
              </w:rPr>
            </w:pPr>
          </w:p>
          <w:p w14:paraId="714CBDEE" w14:textId="47AD61D9" w:rsidR="00A160B2" w:rsidRDefault="00B52E40" w:rsidP="00B52E40">
            <w:pPr>
              <w:pStyle w:val="ListParagraph"/>
              <w:numPr>
                <w:ilvl w:val="0"/>
                <w:numId w:val="29"/>
              </w:numPr>
              <w:ind w:left="357" w:hanging="357"/>
              <w:jc w:val="both"/>
            </w:pPr>
            <w:r>
              <w:rPr>
                <w:sz w:val="24"/>
                <w:szCs w:val="24"/>
              </w:rPr>
              <w:t>A</w:t>
            </w:r>
            <w:r w:rsidR="00BA36E3">
              <w:rPr>
                <w:sz w:val="24"/>
                <w:szCs w:val="24"/>
              </w:rPr>
              <w:t>pprove the Policy</w:t>
            </w:r>
            <w:r w:rsidR="006B7849">
              <w:rPr>
                <w:sz w:val="24"/>
                <w:szCs w:val="24"/>
              </w:rPr>
              <w:t xml:space="preserve"> and any consequential amendments to the Investment Strategy Statement</w:t>
            </w:r>
            <w:r>
              <w:t xml:space="preserve"> s</w:t>
            </w:r>
            <w:r>
              <w:rPr>
                <w:sz w:val="24"/>
                <w:szCs w:val="24"/>
              </w:rPr>
              <w:t>ubject to any adjustments it wishes to make,</w:t>
            </w:r>
          </w:p>
        </w:tc>
      </w:tr>
    </w:tbl>
    <w:p w14:paraId="53DC7DE2" w14:textId="36DB607C" w:rsidR="002A2389" w:rsidRDefault="002A2389" w:rsidP="00B52E40">
      <w:pPr>
        <w:pStyle w:val="Heading2"/>
        <w:jc w:val="both"/>
      </w:pPr>
      <w:r>
        <w:t>Section 2 – Report</w:t>
      </w:r>
    </w:p>
    <w:p w14:paraId="1911551C" w14:textId="77777777" w:rsidR="00E2344F" w:rsidRPr="00E2344F" w:rsidRDefault="00E2344F" w:rsidP="00B52E40">
      <w:pPr>
        <w:jc w:val="both"/>
      </w:pPr>
    </w:p>
    <w:p w14:paraId="7DBAC65C" w14:textId="77777777" w:rsidR="00897B4F" w:rsidRPr="00897B4F" w:rsidRDefault="007D3A46" w:rsidP="00B52E40">
      <w:pPr>
        <w:numPr>
          <w:ilvl w:val="0"/>
          <w:numId w:val="16"/>
        </w:numPr>
        <w:tabs>
          <w:tab w:val="clear" w:pos="584"/>
          <w:tab w:val="num" w:pos="284"/>
        </w:tabs>
        <w:ind w:left="284" w:hanging="284"/>
        <w:jc w:val="both"/>
      </w:pPr>
      <w:bookmarkStart w:id="0" w:name="_Hlk74148209"/>
      <w:r>
        <w:rPr>
          <w:rFonts w:cs="Arial"/>
          <w:szCs w:val="24"/>
        </w:rPr>
        <w:t xml:space="preserve">The </w:t>
      </w:r>
      <w:r w:rsidR="00897B4F">
        <w:rPr>
          <w:rFonts w:cs="Arial"/>
          <w:szCs w:val="24"/>
        </w:rPr>
        <w:t xml:space="preserve">LGPS (Investment and Management of Funds) Regulations 2016 set the framework within which LGPS pension funds are required to manage their investments. They are required to have an Investment Strategy </w:t>
      </w:r>
      <w:r w:rsidR="00897B4F">
        <w:rPr>
          <w:rFonts w:cs="Arial"/>
          <w:szCs w:val="24"/>
        </w:rPr>
        <w:lastRenderedPageBreak/>
        <w:t>Statement (ISS) – which sets out how the Fund will manage and invest its assets to enable it to meet its Funding Strategy.</w:t>
      </w:r>
    </w:p>
    <w:p w14:paraId="0F80347C" w14:textId="77777777" w:rsidR="00936E7E" w:rsidRPr="00936E7E" w:rsidRDefault="00897B4F" w:rsidP="00B52E40">
      <w:pPr>
        <w:numPr>
          <w:ilvl w:val="0"/>
          <w:numId w:val="16"/>
        </w:numPr>
        <w:tabs>
          <w:tab w:val="clear" w:pos="584"/>
          <w:tab w:val="num" w:pos="284"/>
        </w:tabs>
        <w:ind w:left="284" w:hanging="284"/>
        <w:jc w:val="both"/>
      </w:pPr>
      <w:r>
        <w:rPr>
          <w:rFonts w:cs="Arial"/>
          <w:szCs w:val="24"/>
        </w:rPr>
        <w:t xml:space="preserve">The Regulations include a requirement for funds to have a policy setting out how environmental, social and governance (ESG) considerations are taken into account in the selection, non-selection, retention and realisation of investments.  </w:t>
      </w:r>
      <w:r w:rsidR="00936E7E">
        <w:rPr>
          <w:rFonts w:cs="Arial"/>
          <w:szCs w:val="24"/>
        </w:rPr>
        <w:t>For LBH</w:t>
      </w:r>
      <w:r>
        <w:rPr>
          <w:rFonts w:cs="Arial"/>
          <w:szCs w:val="24"/>
        </w:rPr>
        <w:t>,</w:t>
      </w:r>
      <w:r w:rsidR="00936E7E">
        <w:rPr>
          <w:rFonts w:cs="Arial"/>
          <w:szCs w:val="24"/>
        </w:rPr>
        <w:t xml:space="preserve"> the Investment Strategy Statement contains that information.</w:t>
      </w:r>
    </w:p>
    <w:p w14:paraId="39E72F15" w14:textId="77777777" w:rsidR="00936E7E" w:rsidRPr="00936E7E" w:rsidRDefault="00936E7E" w:rsidP="00B52E40">
      <w:pPr>
        <w:ind w:left="284"/>
        <w:jc w:val="both"/>
      </w:pPr>
    </w:p>
    <w:p w14:paraId="50F12D5A" w14:textId="5DBEAFE6" w:rsidR="00936E7E" w:rsidRPr="00936E7E" w:rsidRDefault="00936E7E" w:rsidP="00B52E40">
      <w:pPr>
        <w:numPr>
          <w:ilvl w:val="0"/>
          <w:numId w:val="16"/>
        </w:numPr>
        <w:tabs>
          <w:tab w:val="clear" w:pos="584"/>
          <w:tab w:val="num" w:pos="284"/>
        </w:tabs>
        <w:ind w:left="284" w:hanging="284"/>
        <w:jc w:val="both"/>
      </w:pPr>
      <w:r>
        <w:rPr>
          <w:rFonts w:cs="Arial"/>
          <w:szCs w:val="24"/>
        </w:rPr>
        <w:t xml:space="preserve">With growing concern about climate change, a greater awareness of social issues such as working conditions and governance issues including equality, diversity and executive remuneration, it is now considered best practice for LGPS Funds to have a standalone Responsible Investment (RI) Policy. </w:t>
      </w:r>
      <w:r w:rsidR="00D46252">
        <w:rPr>
          <w:rFonts w:cs="Arial"/>
          <w:szCs w:val="24"/>
        </w:rPr>
        <w:t>The likely introduction of the recommendations of the Taskforce on Climate-related Financial Disclosures (TCFD) – see report elsewhere on this agenda highlights this further.</w:t>
      </w:r>
    </w:p>
    <w:p w14:paraId="4F65BA06" w14:textId="77777777" w:rsidR="00936E7E" w:rsidRDefault="00936E7E" w:rsidP="00B52E40">
      <w:pPr>
        <w:pStyle w:val="ListParagraph"/>
        <w:jc w:val="both"/>
        <w:rPr>
          <w:szCs w:val="24"/>
        </w:rPr>
      </w:pPr>
    </w:p>
    <w:p w14:paraId="22E89694" w14:textId="77777777" w:rsidR="00936E7E" w:rsidRPr="00936E7E" w:rsidRDefault="00936E7E" w:rsidP="00B52E40">
      <w:pPr>
        <w:numPr>
          <w:ilvl w:val="0"/>
          <w:numId w:val="16"/>
        </w:numPr>
        <w:tabs>
          <w:tab w:val="clear" w:pos="584"/>
          <w:tab w:val="num" w:pos="284"/>
        </w:tabs>
        <w:ind w:left="284" w:hanging="284"/>
        <w:jc w:val="both"/>
      </w:pPr>
      <w:r>
        <w:rPr>
          <w:rFonts w:cs="Arial"/>
          <w:szCs w:val="24"/>
        </w:rPr>
        <w:t xml:space="preserve">Following discussion at the Fund’s informal briefing session in July 2022, it was agreed that the morning of the “Training and Meet the Manager” day would be devoted to RI training – and accordingly a workshop training session was led by Jennifer O’Neill – an RI specialist from the Fund’s Investment Consultant (Aon). </w:t>
      </w:r>
    </w:p>
    <w:p w14:paraId="4FE56E73" w14:textId="77777777" w:rsidR="00936E7E" w:rsidRDefault="00936E7E" w:rsidP="00B52E40">
      <w:pPr>
        <w:pStyle w:val="ListParagraph"/>
        <w:jc w:val="both"/>
        <w:rPr>
          <w:szCs w:val="24"/>
        </w:rPr>
      </w:pPr>
    </w:p>
    <w:p w14:paraId="51819B10" w14:textId="60029FD7" w:rsidR="00D46252" w:rsidRPr="00D46252" w:rsidRDefault="00D46252" w:rsidP="00B52E40">
      <w:pPr>
        <w:numPr>
          <w:ilvl w:val="0"/>
          <w:numId w:val="16"/>
        </w:numPr>
        <w:tabs>
          <w:tab w:val="clear" w:pos="584"/>
          <w:tab w:val="num" w:pos="284"/>
        </w:tabs>
        <w:ind w:left="284" w:hanging="284"/>
        <w:jc w:val="both"/>
      </w:pPr>
      <w:r>
        <w:rPr>
          <w:rFonts w:cs="Arial"/>
          <w:szCs w:val="24"/>
        </w:rPr>
        <w:t xml:space="preserve">Following the </w:t>
      </w:r>
      <w:r w:rsidR="00B52E40">
        <w:rPr>
          <w:rFonts w:cs="Arial"/>
          <w:szCs w:val="24"/>
        </w:rPr>
        <w:t>workshop,</w:t>
      </w:r>
      <w:r>
        <w:rPr>
          <w:rFonts w:cs="Arial"/>
          <w:szCs w:val="24"/>
        </w:rPr>
        <w:t xml:space="preserve"> it was agreed that Aon would carry out a survey of the Committee members’ investment beliefs (from an RI perspective) and to use these to draw up a Responsible Investment Policy for the Committee to consider and approve. The draft Policy is attached at </w:t>
      </w:r>
      <w:r w:rsidRPr="00D46252">
        <w:rPr>
          <w:rFonts w:cs="Arial"/>
          <w:b/>
          <w:bCs/>
          <w:szCs w:val="24"/>
        </w:rPr>
        <w:t>Appendix 1.</w:t>
      </w:r>
      <w:r>
        <w:rPr>
          <w:rFonts w:cs="Arial"/>
          <w:b/>
          <w:bCs/>
          <w:szCs w:val="24"/>
        </w:rPr>
        <w:t xml:space="preserve"> </w:t>
      </w:r>
      <w:r w:rsidRPr="00D46252">
        <w:rPr>
          <w:rFonts w:cs="Arial"/>
          <w:szCs w:val="24"/>
        </w:rPr>
        <w:t xml:space="preserve">Jennifer O’Neill </w:t>
      </w:r>
      <w:r>
        <w:rPr>
          <w:rFonts w:cs="Arial"/>
          <w:szCs w:val="24"/>
        </w:rPr>
        <w:t>will present to the Committee on the survey findings and hence the contents of the proposed policy.</w:t>
      </w:r>
    </w:p>
    <w:p w14:paraId="7426A8E0" w14:textId="0C8F8A5F" w:rsidR="00D46252" w:rsidRDefault="00D46252" w:rsidP="00B52E40">
      <w:pPr>
        <w:pStyle w:val="ListParagraph"/>
        <w:jc w:val="both"/>
        <w:rPr>
          <w:szCs w:val="24"/>
        </w:rPr>
      </w:pPr>
    </w:p>
    <w:p w14:paraId="79BC15E1" w14:textId="77777777" w:rsidR="00B52E40" w:rsidRDefault="00B52E40" w:rsidP="00B52E40">
      <w:pPr>
        <w:pStyle w:val="ListParagraph"/>
        <w:jc w:val="both"/>
        <w:rPr>
          <w:szCs w:val="24"/>
        </w:rPr>
      </w:pPr>
    </w:p>
    <w:bookmarkEnd w:id="0"/>
    <w:p w14:paraId="3469E0D9" w14:textId="621B169D" w:rsidR="00213BE7" w:rsidRDefault="00213BE7" w:rsidP="00B52E40">
      <w:pPr>
        <w:pStyle w:val="Heading2"/>
        <w:spacing w:before="0"/>
        <w:jc w:val="both"/>
      </w:pPr>
      <w:r>
        <w:t>Legal Implications</w:t>
      </w:r>
    </w:p>
    <w:p w14:paraId="443F8251" w14:textId="53772BE0" w:rsidR="00180D94" w:rsidRDefault="00180D94" w:rsidP="00B52E40">
      <w:pPr>
        <w:jc w:val="both"/>
      </w:pPr>
    </w:p>
    <w:p w14:paraId="59D7BD99" w14:textId="44918A92" w:rsidR="00BB0DBA" w:rsidRPr="00BB0DBA" w:rsidRDefault="00180D94" w:rsidP="00B52E40">
      <w:pPr>
        <w:pStyle w:val="ListParagraph"/>
        <w:numPr>
          <w:ilvl w:val="0"/>
          <w:numId w:val="16"/>
        </w:numPr>
        <w:jc w:val="both"/>
        <w:rPr>
          <w:sz w:val="24"/>
          <w:szCs w:val="24"/>
        </w:rPr>
      </w:pPr>
      <w:r w:rsidRPr="00BB0DBA">
        <w:rPr>
          <w:sz w:val="24"/>
          <w:szCs w:val="24"/>
        </w:rPr>
        <w:t>There are no direct legal implications arising from this report.</w:t>
      </w:r>
    </w:p>
    <w:p w14:paraId="1E7DE3C6" w14:textId="77777777" w:rsidR="00BB0DBA" w:rsidRPr="00BB0DBA" w:rsidRDefault="00BB0DBA" w:rsidP="00B52E40">
      <w:pPr>
        <w:pStyle w:val="ListParagraph"/>
        <w:ind w:left="584"/>
        <w:jc w:val="both"/>
        <w:rPr>
          <w:sz w:val="24"/>
          <w:szCs w:val="24"/>
        </w:rPr>
      </w:pPr>
    </w:p>
    <w:p w14:paraId="50C1063F" w14:textId="3B557E36" w:rsidR="00BB0DBA" w:rsidRPr="00BB0DBA" w:rsidRDefault="00BB0DBA" w:rsidP="00B52E40">
      <w:pPr>
        <w:pStyle w:val="ListParagraph"/>
        <w:numPr>
          <w:ilvl w:val="0"/>
          <w:numId w:val="16"/>
        </w:numPr>
        <w:jc w:val="both"/>
        <w:rPr>
          <w:sz w:val="24"/>
          <w:szCs w:val="24"/>
        </w:rPr>
      </w:pPr>
      <w:r w:rsidRPr="00BB0DBA">
        <w:rPr>
          <w:color w:val="262626"/>
          <w:sz w:val="24"/>
          <w:szCs w:val="24"/>
          <w:lang w:val="en-US"/>
        </w:rPr>
        <w:t>The Pension Fund Committee has the following powers and duties:</w:t>
      </w:r>
    </w:p>
    <w:p w14:paraId="18197774" w14:textId="77777777" w:rsidR="00BB0DBA" w:rsidRPr="00BB0DBA" w:rsidRDefault="00BB0DBA" w:rsidP="00B52E40">
      <w:pPr>
        <w:shd w:val="clear" w:color="auto" w:fill="FFFFFF"/>
        <w:jc w:val="both"/>
        <w:rPr>
          <w:rFonts w:cs="Arial"/>
          <w:color w:val="262626"/>
          <w:szCs w:val="24"/>
          <w:lang w:eastAsia="en-GB"/>
        </w:rPr>
      </w:pPr>
      <w:r w:rsidRPr="00BB0DBA">
        <w:rPr>
          <w:rFonts w:cs="Arial"/>
          <w:color w:val="262626"/>
          <w:szCs w:val="24"/>
          <w:lang w:val="en-US" w:eastAsia="en-GB"/>
        </w:rPr>
        <w:t> </w:t>
      </w:r>
    </w:p>
    <w:p w14:paraId="24086B71" w14:textId="5C033DAB" w:rsidR="00BB0DBA" w:rsidRPr="00BB0DBA" w:rsidRDefault="00BB0DBA" w:rsidP="00B52E40">
      <w:pPr>
        <w:pStyle w:val="ListParagraph"/>
        <w:numPr>
          <w:ilvl w:val="0"/>
          <w:numId w:val="21"/>
        </w:numPr>
        <w:shd w:val="clear" w:color="auto" w:fill="FFFFFF"/>
        <w:spacing w:after="240"/>
        <w:jc w:val="both"/>
        <w:rPr>
          <w:color w:val="262626"/>
          <w:sz w:val="24"/>
          <w:szCs w:val="24"/>
        </w:rPr>
      </w:pPr>
      <w:r w:rsidRPr="00BB0DBA">
        <w:rPr>
          <w:color w:val="262626"/>
          <w:sz w:val="24"/>
          <w:szCs w:val="24"/>
          <w:lang w:val="en-US"/>
        </w:rPr>
        <w:t>t</w:t>
      </w:r>
      <w:r w:rsidRPr="00BB0DBA">
        <w:rPr>
          <w:color w:val="262626"/>
          <w:sz w:val="24"/>
          <w:szCs w:val="24"/>
        </w:rPr>
        <w:t>o exercise on behalf of the Council, all the powers and duties of the Council in relation to its functions as Administering Authority of the LB Harrow Pension Fund (the fund), save for those matters delegated to other Committees of the Council or to an Officer;</w:t>
      </w:r>
    </w:p>
    <w:p w14:paraId="363A93C9" w14:textId="38076E75" w:rsidR="00BB0DBA" w:rsidRPr="00BB0DBA" w:rsidRDefault="00BB0DBA" w:rsidP="00B52E40">
      <w:pPr>
        <w:pStyle w:val="ListParagraph"/>
        <w:numPr>
          <w:ilvl w:val="0"/>
          <w:numId w:val="21"/>
        </w:numPr>
        <w:shd w:val="clear" w:color="auto" w:fill="FFFFFF"/>
        <w:spacing w:after="240"/>
        <w:jc w:val="both"/>
        <w:rPr>
          <w:color w:val="262626"/>
          <w:sz w:val="24"/>
          <w:szCs w:val="24"/>
        </w:rPr>
      </w:pPr>
      <w:r w:rsidRPr="00BB0DBA">
        <w:rPr>
          <w:color w:val="262626"/>
          <w:sz w:val="24"/>
          <w:szCs w:val="24"/>
        </w:rPr>
        <w:t>the determination of applications under the Local Government Superannuation Regulations and the Teachers’ Superannuation Regulations;</w:t>
      </w:r>
    </w:p>
    <w:p w14:paraId="5B3DBFA9" w14:textId="3E6C58F0" w:rsidR="00BB0DBA" w:rsidRPr="00BB0DBA" w:rsidRDefault="00BB0DBA" w:rsidP="00B52E40">
      <w:pPr>
        <w:pStyle w:val="ListParagraph"/>
        <w:numPr>
          <w:ilvl w:val="0"/>
          <w:numId w:val="21"/>
        </w:numPr>
        <w:shd w:val="clear" w:color="auto" w:fill="FFFFFF"/>
        <w:spacing w:after="240"/>
        <w:jc w:val="both"/>
        <w:rPr>
          <w:color w:val="262626"/>
          <w:sz w:val="24"/>
          <w:szCs w:val="24"/>
        </w:rPr>
      </w:pPr>
      <w:r w:rsidRPr="00BB0DBA">
        <w:rPr>
          <w:color w:val="262626"/>
          <w:sz w:val="24"/>
          <w:szCs w:val="24"/>
          <w:lang w:val="en-US"/>
        </w:rPr>
        <w:t>to administer all matters concerning the Council’s pension investments in accordance with the law and Council policy;</w:t>
      </w:r>
    </w:p>
    <w:p w14:paraId="53284317" w14:textId="77777777" w:rsidR="00BB0DBA" w:rsidRPr="00BB0DBA" w:rsidRDefault="00BB0DBA" w:rsidP="00B52E40">
      <w:pPr>
        <w:pStyle w:val="ListParagraph"/>
        <w:numPr>
          <w:ilvl w:val="0"/>
          <w:numId w:val="21"/>
        </w:numPr>
        <w:shd w:val="clear" w:color="auto" w:fill="FFFFFF"/>
        <w:spacing w:after="240"/>
        <w:jc w:val="both"/>
        <w:rPr>
          <w:color w:val="262626"/>
          <w:sz w:val="24"/>
          <w:szCs w:val="24"/>
        </w:rPr>
      </w:pPr>
      <w:r w:rsidRPr="00BB0DBA">
        <w:rPr>
          <w:color w:val="262626"/>
          <w:sz w:val="24"/>
          <w:szCs w:val="24"/>
          <w:lang w:val="en-US"/>
        </w:rPr>
        <w:t>to establish a strategy for the disposition of the pension investment portfolio; and</w:t>
      </w:r>
    </w:p>
    <w:p w14:paraId="5357D154" w14:textId="6323FBC7" w:rsidR="00BB0DBA" w:rsidRPr="00BB0DBA" w:rsidRDefault="00BB0DBA" w:rsidP="00B52E40">
      <w:pPr>
        <w:pStyle w:val="ListParagraph"/>
        <w:numPr>
          <w:ilvl w:val="0"/>
          <w:numId w:val="21"/>
        </w:numPr>
        <w:shd w:val="clear" w:color="auto" w:fill="FFFFFF"/>
        <w:spacing w:after="240"/>
        <w:jc w:val="both"/>
        <w:rPr>
          <w:color w:val="262626"/>
          <w:sz w:val="24"/>
          <w:szCs w:val="24"/>
        </w:rPr>
      </w:pPr>
      <w:r w:rsidRPr="00BB0DBA">
        <w:rPr>
          <w:color w:val="262626"/>
          <w:sz w:val="24"/>
          <w:szCs w:val="24"/>
          <w:lang w:val="en-US"/>
        </w:rPr>
        <w:t>to appoint and determine the investment managers’ delegation of powers of management of the fund;</w:t>
      </w:r>
    </w:p>
    <w:p w14:paraId="6DE7C159" w14:textId="3C833031" w:rsidR="00BB0DBA" w:rsidRPr="00BB0DBA" w:rsidRDefault="00BB0DBA" w:rsidP="00B52E40">
      <w:pPr>
        <w:pStyle w:val="ListParagraph"/>
        <w:numPr>
          <w:ilvl w:val="0"/>
          <w:numId w:val="21"/>
        </w:numPr>
        <w:shd w:val="clear" w:color="auto" w:fill="FFFFFF"/>
        <w:spacing w:after="240"/>
        <w:jc w:val="both"/>
        <w:rPr>
          <w:color w:val="262626"/>
          <w:sz w:val="24"/>
          <w:szCs w:val="24"/>
        </w:rPr>
      </w:pPr>
      <w:r w:rsidRPr="00BB0DBA">
        <w:rPr>
          <w:color w:val="262626"/>
          <w:sz w:val="24"/>
          <w:szCs w:val="24"/>
        </w:rPr>
        <w:lastRenderedPageBreak/>
        <w:t>to determine cases that satisfy the Early Retirement provision under Regulation 26 of the Local Government Pension Scheme Regulations 1997 (as amended), and to exercise discretion under Regulations 8 of the Local Government (Early Termination of Employment) (Discretionary Compensation) (England and Wales) Regulations 2000 (as amended, subject to the conditions now agreed in respect of all staff, excluding Chief Officers;</w:t>
      </w:r>
    </w:p>
    <w:p w14:paraId="3FEA2084" w14:textId="1C83C69B" w:rsidR="00BB0DBA" w:rsidRPr="00BB0DBA" w:rsidRDefault="00BB0DBA" w:rsidP="00B52E40">
      <w:pPr>
        <w:pStyle w:val="ListParagraph"/>
        <w:numPr>
          <w:ilvl w:val="0"/>
          <w:numId w:val="21"/>
        </w:numPr>
        <w:shd w:val="clear" w:color="auto" w:fill="FFFFFF"/>
        <w:jc w:val="both"/>
        <w:rPr>
          <w:color w:val="262626"/>
          <w:sz w:val="24"/>
          <w:szCs w:val="24"/>
        </w:rPr>
      </w:pPr>
      <w:r w:rsidRPr="00BB0DBA">
        <w:rPr>
          <w:color w:val="262626"/>
          <w:sz w:val="24"/>
          <w:szCs w:val="24"/>
        </w:rPr>
        <w:t>to apply the arrangements set out in (vi) above to Chief Officers where the application has been recommended by the Chief Executive, either on the grounds of redundancy, or in the interests of the efficiency of the service, and where the application was instigated by the Chief Executive in consultation with the leaders of the political groups.</w:t>
      </w:r>
    </w:p>
    <w:p w14:paraId="25ACDC34" w14:textId="0D62B9D9" w:rsidR="00BB0DBA" w:rsidRPr="00BB0DBA" w:rsidRDefault="00BB0DBA" w:rsidP="00B52E40">
      <w:pPr>
        <w:pStyle w:val="ListParagraph"/>
        <w:tabs>
          <w:tab w:val="left" w:pos="1110"/>
        </w:tabs>
        <w:ind w:left="584"/>
        <w:jc w:val="both"/>
        <w:rPr>
          <w:sz w:val="24"/>
          <w:szCs w:val="24"/>
        </w:rPr>
      </w:pPr>
      <w:r>
        <w:rPr>
          <w:sz w:val="24"/>
          <w:szCs w:val="24"/>
        </w:rPr>
        <w:tab/>
      </w:r>
    </w:p>
    <w:p w14:paraId="41BB405D" w14:textId="77777777" w:rsidR="002A2389" w:rsidRDefault="002A2389" w:rsidP="00B52E40">
      <w:pPr>
        <w:pStyle w:val="Heading2"/>
        <w:spacing w:after="240"/>
        <w:jc w:val="both"/>
      </w:pPr>
      <w:r>
        <w:t>Financial Implications</w:t>
      </w:r>
    </w:p>
    <w:p w14:paraId="110B0902" w14:textId="77777777" w:rsidR="00180D94" w:rsidRPr="00F22AA0" w:rsidRDefault="00180D94" w:rsidP="00B52E40">
      <w:pPr>
        <w:pStyle w:val="ListParagraph"/>
        <w:numPr>
          <w:ilvl w:val="0"/>
          <w:numId w:val="16"/>
        </w:numPr>
        <w:jc w:val="both"/>
        <w:rPr>
          <w:sz w:val="24"/>
          <w:szCs w:val="24"/>
        </w:rPr>
      </w:pPr>
      <w:r w:rsidRPr="00F22AA0">
        <w:rPr>
          <w:sz w:val="24"/>
          <w:szCs w:val="24"/>
        </w:rPr>
        <w:t>Whilst the financial health of the Pension Fund directly affects the level of employer contribution which, in turn, affects the resources available for the Council’s priorities there are no impacts arising directly from this report.</w:t>
      </w:r>
    </w:p>
    <w:p w14:paraId="2B95D393" w14:textId="165B0E37" w:rsidR="00180D94" w:rsidRDefault="00C32DAE" w:rsidP="00B52E40">
      <w:pPr>
        <w:pStyle w:val="Heading2"/>
        <w:spacing w:after="240"/>
        <w:jc w:val="both"/>
      </w:pPr>
      <w:r>
        <w:t>Risk Management Implications</w:t>
      </w:r>
    </w:p>
    <w:p w14:paraId="6260A6EF" w14:textId="559A1D0E" w:rsidR="00180D94" w:rsidRPr="003F5AF9" w:rsidRDefault="00180D94" w:rsidP="00B52E40">
      <w:pPr>
        <w:numPr>
          <w:ilvl w:val="0"/>
          <w:numId w:val="16"/>
        </w:numPr>
        <w:autoSpaceDE w:val="0"/>
        <w:autoSpaceDN w:val="0"/>
        <w:adjustRightInd w:val="0"/>
        <w:ind w:left="426" w:hanging="426"/>
        <w:jc w:val="both"/>
        <w:rPr>
          <w:rFonts w:cs="Arial"/>
          <w:color w:val="000000"/>
          <w:szCs w:val="24"/>
          <w:lang w:eastAsia="en-GB"/>
        </w:rPr>
      </w:pPr>
      <w:r w:rsidRPr="00690F76">
        <w:t>The Pension Fund’s Risk Register is reviewed regularly by both th</w:t>
      </w:r>
      <w:r>
        <w:t>is</w:t>
      </w:r>
      <w:r w:rsidRPr="00690F76">
        <w:t xml:space="preserve"> Committee and by the Pension Board. </w:t>
      </w:r>
      <w:r>
        <w:t xml:space="preserve">The latest review </w:t>
      </w:r>
      <w:r w:rsidR="00BA36E3">
        <w:t>is included elsewhere on the agenda for this meeting.</w:t>
      </w:r>
      <w:r>
        <w:t xml:space="preserve"> </w:t>
      </w:r>
    </w:p>
    <w:p w14:paraId="30F113F0" w14:textId="77777777" w:rsidR="00180D94" w:rsidRPr="003F5AF9" w:rsidRDefault="00180D94" w:rsidP="00B52E40">
      <w:pPr>
        <w:autoSpaceDE w:val="0"/>
        <w:autoSpaceDN w:val="0"/>
        <w:adjustRightInd w:val="0"/>
        <w:ind w:left="426"/>
        <w:jc w:val="both"/>
        <w:rPr>
          <w:rFonts w:cs="Arial"/>
          <w:color w:val="000000"/>
          <w:szCs w:val="24"/>
          <w:lang w:eastAsia="en-GB"/>
        </w:rPr>
      </w:pPr>
    </w:p>
    <w:p w14:paraId="63673B0F" w14:textId="46D4570A" w:rsidR="00180D94" w:rsidRPr="00180D94" w:rsidRDefault="00180D94" w:rsidP="00B52E40">
      <w:pPr>
        <w:numPr>
          <w:ilvl w:val="0"/>
          <w:numId w:val="16"/>
        </w:numPr>
        <w:autoSpaceDE w:val="0"/>
        <w:autoSpaceDN w:val="0"/>
        <w:adjustRightInd w:val="0"/>
        <w:ind w:left="426" w:hanging="426"/>
        <w:jc w:val="both"/>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rsidR="00D46252">
        <w:t xml:space="preserve">, and having </w:t>
      </w:r>
      <w:r w:rsidR="009C19ED">
        <w:t>a Responsible</w:t>
      </w:r>
      <w:r w:rsidR="00D46252">
        <w:t xml:space="preserve"> Investment Policy will assist in managing those risks.</w:t>
      </w:r>
    </w:p>
    <w:p w14:paraId="7F3D60FE" w14:textId="27532E63" w:rsidR="00180D94" w:rsidRPr="00180D94" w:rsidRDefault="00180D94" w:rsidP="00B52E40">
      <w:pPr>
        <w:pStyle w:val="Heading2"/>
        <w:keepNext/>
        <w:spacing w:after="240"/>
        <w:jc w:val="both"/>
        <w:rPr>
          <w:color w:val="000000"/>
          <w:szCs w:val="24"/>
          <w:lang w:eastAsia="en-GB"/>
        </w:rPr>
      </w:pPr>
      <w:r w:rsidRPr="004A2543">
        <w:t>Equalities implications</w:t>
      </w:r>
      <w:r>
        <w:t xml:space="preserve"> / Public Sector Equality Duty </w:t>
      </w:r>
    </w:p>
    <w:p w14:paraId="556E49AD" w14:textId="77777777" w:rsidR="00180D94" w:rsidRPr="00180D94" w:rsidRDefault="00FD31A0" w:rsidP="00B52E40">
      <w:pPr>
        <w:numPr>
          <w:ilvl w:val="0"/>
          <w:numId w:val="16"/>
        </w:numPr>
        <w:autoSpaceDE w:val="0"/>
        <w:autoSpaceDN w:val="0"/>
        <w:adjustRightInd w:val="0"/>
        <w:ind w:left="426" w:hanging="426"/>
        <w:jc w:val="both"/>
        <w:rPr>
          <w:rFonts w:cs="Arial"/>
          <w:color w:val="000000"/>
          <w:szCs w:val="24"/>
          <w:lang w:eastAsia="en-GB"/>
        </w:rPr>
      </w:pPr>
      <w:r w:rsidRPr="004A2543">
        <w:t xml:space="preserve">Was an Equality Impact Assessment carried out?  </w:t>
      </w:r>
      <w:r>
        <w:t>No</w:t>
      </w:r>
    </w:p>
    <w:p w14:paraId="79CE73A9" w14:textId="116585D1" w:rsidR="00180D94" w:rsidRDefault="00180D94" w:rsidP="00B52E40">
      <w:pPr>
        <w:autoSpaceDE w:val="0"/>
        <w:autoSpaceDN w:val="0"/>
        <w:adjustRightInd w:val="0"/>
        <w:ind w:left="426"/>
        <w:jc w:val="both"/>
      </w:pPr>
      <w:r>
        <w:t>There are no direct equalities implications arising from this report.</w:t>
      </w:r>
    </w:p>
    <w:p w14:paraId="11BF41CC" w14:textId="74EDD967" w:rsidR="002A2389" w:rsidRDefault="002A2389" w:rsidP="00B52E40">
      <w:pPr>
        <w:pStyle w:val="Heading2"/>
        <w:tabs>
          <w:tab w:val="left" w:pos="1250"/>
        </w:tabs>
        <w:jc w:val="both"/>
      </w:pPr>
      <w:r>
        <w:t>Section 3 - Statutory Officer Clearance</w:t>
      </w:r>
    </w:p>
    <w:p w14:paraId="077143F8" w14:textId="77777777" w:rsidR="002A2389" w:rsidRDefault="002A2389" w:rsidP="00B52E40">
      <w:pPr>
        <w:keepNext/>
        <w:jc w:val="both"/>
        <w:rPr>
          <w:rFonts w:cs="Arial"/>
        </w:rPr>
      </w:pPr>
    </w:p>
    <w:p w14:paraId="1F493ADE" w14:textId="0CC67B44" w:rsidR="00912904" w:rsidRPr="00B52E40" w:rsidRDefault="00912904" w:rsidP="00B52E40">
      <w:pPr>
        <w:jc w:val="both"/>
        <w:rPr>
          <w:szCs w:val="24"/>
        </w:rPr>
      </w:pPr>
      <w:r w:rsidRPr="00B52E40">
        <w:rPr>
          <w:b/>
          <w:szCs w:val="24"/>
        </w:rPr>
        <w:t xml:space="preserve">Statutory Officer:  </w:t>
      </w:r>
      <w:r w:rsidR="00636345" w:rsidRPr="00B52E40">
        <w:rPr>
          <w:b/>
          <w:szCs w:val="24"/>
        </w:rPr>
        <w:t>Dawn Calvert</w:t>
      </w:r>
    </w:p>
    <w:p w14:paraId="57640BD9" w14:textId="0290E35E" w:rsidR="00912904" w:rsidRPr="00B52E40" w:rsidRDefault="00912904" w:rsidP="00B52E40">
      <w:pPr>
        <w:jc w:val="both"/>
        <w:rPr>
          <w:szCs w:val="24"/>
        </w:rPr>
      </w:pPr>
      <w:r w:rsidRPr="00B52E40">
        <w:rPr>
          <w:szCs w:val="24"/>
        </w:rPr>
        <w:t>Signed by the Chief Financial Officer</w:t>
      </w:r>
    </w:p>
    <w:p w14:paraId="5745A2E3" w14:textId="5257196A" w:rsidR="00912904" w:rsidRPr="00B52E40" w:rsidRDefault="00912904" w:rsidP="00B52E40">
      <w:pPr>
        <w:spacing w:after="480"/>
        <w:jc w:val="both"/>
        <w:rPr>
          <w:szCs w:val="24"/>
        </w:rPr>
      </w:pPr>
      <w:r w:rsidRPr="00B52E40">
        <w:rPr>
          <w:b/>
          <w:szCs w:val="24"/>
        </w:rPr>
        <w:t xml:space="preserve">Date:  </w:t>
      </w:r>
      <w:r w:rsidR="00636345" w:rsidRPr="00B52E40">
        <w:rPr>
          <w:b/>
          <w:szCs w:val="24"/>
        </w:rPr>
        <w:t>11/11/2022</w:t>
      </w:r>
    </w:p>
    <w:p w14:paraId="2586CC50" w14:textId="2D394C27" w:rsidR="00912904" w:rsidRPr="00B52E40" w:rsidRDefault="00912904" w:rsidP="00B52E40">
      <w:pPr>
        <w:tabs>
          <w:tab w:val="left" w:pos="3022"/>
        </w:tabs>
        <w:jc w:val="both"/>
        <w:rPr>
          <w:szCs w:val="24"/>
        </w:rPr>
      </w:pPr>
      <w:r w:rsidRPr="00B52E40">
        <w:rPr>
          <w:b/>
          <w:szCs w:val="24"/>
        </w:rPr>
        <w:t xml:space="preserve">Statutory Officer:  </w:t>
      </w:r>
      <w:r w:rsidR="00EA4949" w:rsidRPr="00B52E40">
        <w:rPr>
          <w:b/>
          <w:szCs w:val="24"/>
        </w:rPr>
        <w:t xml:space="preserve">Sharon Clarke </w:t>
      </w:r>
    </w:p>
    <w:p w14:paraId="3F58D77A" w14:textId="47CC97C1" w:rsidR="00912904" w:rsidRPr="00B52E40" w:rsidRDefault="00912904" w:rsidP="00B52E40">
      <w:pPr>
        <w:jc w:val="both"/>
        <w:rPr>
          <w:szCs w:val="24"/>
        </w:rPr>
      </w:pPr>
      <w:r w:rsidRPr="00B52E40">
        <w:rPr>
          <w:szCs w:val="24"/>
        </w:rPr>
        <w:t>Signed on behalf of the Monitoring Officer</w:t>
      </w:r>
    </w:p>
    <w:p w14:paraId="61F8C7E6" w14:textId="451FF214" w:rsidR="00912904" w:rsidRPr="00B52E40" w:rsidRDefault="00912904" w:rsidP="00B52E40">
      <w:pPr>
        <w:tabs>
          <w:tab w:val="left" w:pos="2370"/>
        </w:tabs>
        <w:spacing w:after="480"/>
        <w:jc w:val="both"/>
        <w:rPr>
          <w:szCs w:val="24"/>
        </w:rPr>
      </w:pPr>
      <w:r w:rsidRPr="00B52E40">
        <w:rPr>
          <w:b/>
          <w:szCs w:val="24"/>
        </w:rPr>
        <w:t xml:space="preserve">Date:  </w:t>
      </w:r>
      <w:r w:rsidR="00EA4949" w:rsidRPr="00B52E40">
        <w:rPr>
          <w:b/>
          <w:szCs w:val="24"/>
        </w:rPr>
        <w:t>10/11/2022</w:t>
      </w:r>
    </w:p>
    <w:p w14:paraId="2019A53D" w14:textId="396A8A7F" w:rsidR="00912904" w:rsidRPr="00B52E40" w:rsidRDefault="004A4A1D" w:rsidP="00B52E40">
      <w:pPr>
        <w:tabs>
          <w:tab w:val="left" w:pos="2370"/>
        </w:tabs>
        <w:jc w:val="both"/>
        <w:rPr>
          <w:b/>
          <w:szCs w:val="24"/>
        </w:rPr>
      </w:pPr>
      <w:r w:rsidRPr="00B52E40">
        <w:rPr>
          <w:b/>
          <w:szCs w:val="24"/>
        </w:rPr>
        <w:t>Chief</w:t>
      </w:r>
      <w:r w:rsidR="00912904" w:rsidRPr="00B52E40">
        <w:rPr>
          <w:b/>
          <w:szCs w:val="24"/>
        </w:rPr>
        <w:t xml:space="preserve"> Officer: </w:t>
      </w:r>
      <w:r w:rsidR="00DB1C98" w:rsidRPr="00B52E40">
        <w:rPr>
          <w:b/>
          <w:szCs w:val="24"/>
        </w:rPr>
        <w:t xml:space="preserve"> </w:t>
      </w:r>
      <w:r w:rsidR="00636345" w:rsidRPr="00B52E40">
        <w:rPr>
          <w:b/>
          <w:szCs w:val="24"/>
        </w:rPr>
        <w:t>Dawn Calvert</w:t>
      </w:r>
    </w:p>
    <w:p w14:paraId="12E4D11B" w14:textId="0406CEB3" w:rsidR="00912904" w:rsidRPr="00B52E40" w:rsidRDefault="00365D29" w:rsidP="00B52E40">
      <w:pPr>
        <w:jc w:val="both"/>
        <w:rPr>
          <w:szCs w:val="24"/>
        </w:rPr>
      </w:pPr>
      <w:r w:rsidRPr="00B52E40">
        <w:rPr>
          <w:szCs w:val="24"/>
        </w:rPr>
        <w:t>Signed</w:t>
      </w:r>
      <w:r w:rsidR="00912904" w:rsidRPr="00B52E40">
        <w:rPr>
          <w:szCs w:val="24"/>
        </w:rPr>
        <w:t xml:space="preserve"> </w:t>
      </w:r>
      <w:r w:rsidR="00BE0F0E" w:rsidRPr="00B52E40">
        <w:rPr>
          <w:szCs w:val="24"/>
        </w:rPr>
        <w:t xml:space="preserve">on behalf of </w:t>
      </w:r>
      <w:r w:rsidR="00912904" w:rsidRPr="00B52E40">
        <w:rPr>
          <w:szCs w:val="24"/>
        </w:rPr>
        <w:t>the C</w:t>
      </w:r>
      <w:r w:rsidR="00A87BB6" w:rsidRPr="00B52E40">
        <w:rPr>
          <w:szCs w:val="24"/>
        </w:rPr>
        <w:t>hief Executive</w:t>
      </w:r>
    </w:p>
    <w:p w14:paraId="21482980" w14:textId="3D11A39B" w:rsidR="00912904" w:rsidRPr="00B52E40" w:rsidRDefault="00912904" w:rsidP="00B52E40">
      <w:pPr>
        <w:tabs>
          <w:tab w:val="left" w:pos="1370"/>
        </w:tabs>
        <w:spacing w:after="480"/>
        <w:jc w:val="both"/>
        <w:rPr>
          <w:szCs w:val="24"/>
        </w:rPr>
      </w:pPr>
      <w:r w:rsidRPr="00B52E40">
        <w:rPr>
          <w:b/>
          <w:szCs w:val="24"/>
        </w:rPr>
        <w:t xml:space="preserve">Date:  </w:t>
      </w:r>
      <w:r w:rsidR="00636345" w:rsidRPr="00B52E40">
        <w:rPr>
          <w:b/>
          <w:szCs w:val="24"/>
        </w:rPr>
        <w:t>11/11/2022</w:t>
      </w:r>
    </w:p>
    <w:p w14:paraId="686CE5D8" w14:textId="77777777" w:rsidR="00912904" w:rsidRPr="00435B5D" w:rsidRDefault="00912904" w:rsidP="00B52E40">
      <w:pPr>
        <w:pStyle w:val="Heading2"/>
        <w:spacing w:after="240"/>
        <w:jc w:val="both"/>
      </w:pPr>
      <w:r>
        <w:t>Mandatory Checks</w:t>
      </w:r>
    </w:p>
    <w:p w14:paraId="71FBC41D" w14:textId="38D3DD53" w:rsidR="00912904" w:rsidRPr="003313EA" w:rsidRDefault="00912904" w:rsidP="00B52E40">
      <w:pPr>
        <w:pStyle w:val="Heading3"/>
        <w:ind w:left="0" w:firstLine="0"/>
        <w:rPr>
          <w:i/>
          <w:color w:val="FF0000"/>
          <w:szCs w:val="24"/>
        </w:rPr>
      </w:pPr>
      <w:r w:rsidRPr="00B52E40">
        <w:rPr>
          <w:szCs w:val="24"/>
        </w:rPr>
        <w:t xml:space="preserve">Ward Councillors </w:t>
      </w:r>
      <w:r w:rsidR="00B52E40">
        <w:rPr>
          <w:szCs w:val="24"/>
        </w:rPr>
        <w:t>N</w:t>
      </w:r>
      <w:r w:rsidRPr="00B52E40">
        <w:rPr>
          <w:szCs w:val="24"/>
        </w:rPr>
        <w:t>otified</w:t>
      </w:r>
      <w:r w:rsidRPr="00E90AFF">
        <w:rPr>
          <w:sz w:val="28"/>
        </w:rPr>
        <w:t xml:space="preserve">:  </w:t>
      </w:r>
      <w:r w:rsidR="00180D94" w:rsidRPr="00B52E40">
        <w:rPr>
          <w:b w:val="0"/>
          <w:bCs w:val="0"/>
          <w:szCs w:val="24"/>
        </w:rPr>
        <w:t>Not applicable</w:t>
      </w:r>
      <w:r w:rsidRPr="003313EA">
        <w:rPr>
          <w:i/>
          <w:color w:val="FF0000"/>
          <w:szCs w:val="24"/>
        </w:rPr>
        <w:t xml:space="preserve"> </w:t>
      </w:r>
    </w:p>
    <w:p w14:paraId="629F8205" w14:textId="77777777" w:rsidR="002A2389" w:rsidRDefault="002A2389" w:rsidP="00B52E40">
      <w:pPr>
        <w:pStyle w:val="Heading2"/>
        <w:keepNext/>
        <w:spacing w:after="240"/>
        <w:jc w:val="both"/>
      </w:pPr>
      <w:r>
        <w:t>Section 4 - Contact Details and Background Papers</w:t>
      </w:r>
    </w:p>
    <w:p w14:paraId="5043159A" w14:textId="1C2BD613" w:rsidR="00180D94" w:rsidRPr="00B52E40" w:rsidRDefault="002A2389" w:rsidP="00B52E40">
      <w:pPr>
        <w:pStyle w:val="Infotext"/>
        <w:jc w:val="both"/>
        <w:rPr>
          <w:sz w:val="24"/>
          <w:szCs w:val="24"/>
        </w:rPr>
      </w:pPr>
      <w:r w:rsidRPr="00B52E40">
        <w:rPr>
          <w:b/>
          <w:sz w:val="24"/>
          <w:szCs w:val="24"/>
        </w:rPr>
        <w:t>Contact:</w:t>
      </w:r>
      <w:r w:rsidRPr="00B52E40">
        <w:rPr>
          <w:sz w:val="24"/>
          <w:szCs w:val="24"/>
        </w:rPr>
        <w:t xml:space="preserve">  </w:t>
      </w:r>
      <w:r w:rsidR="00180D94" w:rsidRPr="00B52E40">
        <w:rPr>
          <w:sz w:val="24"/>
          <w:szCs w:val="24"/>
        </w:rPr>
        <w:t>Jeremy Randall – Interim Pensions Manager</w:t>
      </w:r>
    </w:p>
    <w:p w14:paraId="38A0A7A9" w14:textId="77777777" w:rsidR="00180D94" w:rsidRPr="00B52E40" w:rsidRDefault="00180D94" w:rsidP="00B52E40">
      <w:pPr>
        <w:pStyle w:val="Infotext"/>
        <w:jc w:val="both"/>
        <w:rPr>
          <w:rStyle w:val="Hyperlink"/>
          <w:sz w:val="24"/>
          <w:szCs w:val="24"/>
        </w:rPr>
      </w:pPr>
      <w:r w:rsidRPr="00B52E40">
        <w:rPr>
          <w:sz w:val="24"/>
          <w:szCs w:val="24"/>
        </w:rPr>
        <w:t xml:space="preserve">Email: </w:t>
      </w:r>
      <w:hyperlink r:id="rId11" w:history="1">
        <w:r w:rsidRPr="00B52E40">
          <w:rPr>
            <w:rStyle w:val="Hyperlink"/>
            <w:sz w:val="24"/>
            <w:szCs w:val="24"/>
          </w:rPr>
          <w:t>Jeremy.randall@harrow.gov.uk</w:t>
        </w:r>
      </w:hyperlink>
    </w:p>
    <w:p w14:paraId="064CDBC2" w14:textId="77777777" w:rsidR="00180D94" w:rsidRPr="00B52E40" w:rsidRDefault="00180D94" w:rsidP="00B52E40">
      <w:pPr>
        <w:pStyle w:val="Infotext"/>
        <w:jc w:val="both"/>
        <w:rPr>
          <w:sz w:val="24"/>
          <w:szCs w:val="24"/>
        </w:rPr>
      </w:pPr>
      <w:r w:rsidRPr="00B52E40">
        <w:rPr>
          <w:rStyle w:val="Hyperlink"/>
          <w:color w:val="auto"/>
          <w:sz w:val="24"/>
          <w:szCs w:val="24"/>
          <w:u w:val="none"/>
        </w:rPr>
        <w:t>Telephone 020 8736 6552</w:t>
      </w:r>
    </w:p>
    <w:p w14:paraId="695B009D" w14:textId="253AC26C" w:rsidR="002A2389" w:rsidRPr="00B52E40" w:rsidRDefault="002A2389" w:rsidP="00B52E40">
      <w:pPr>
        <w:pStyle w:val="Infotext"/>
        <w:spacing w:before="360"/>
        <w:jc w:val="both"/>
        <w:rPr>
          <w:sz w:val="24"/>
          <w:szCs w:val="24"/>
        </w:rPr>
      </w:pPr>
      <w:r w:rsidRPr="00B52E40">
        <w:rPr>
          <w:b/>
          <w:sz w:val="24"/>
          <w:szCs w:val="24"/>
        </w:rPr>
        <w:t>Background Papers</w:t>
      </w:r>
      <w:r w:rsidRPr="00B52E40">
        <w:rPr>
          <w:sz w:val="24"/>
          <w:szCs w:val="24"/>
        </w:rPr>
        <w:t xml:space="preserve">:  </w:t>
      </w:r>
      <w:r w:rsidR="00180D94" w:rsidRPr="00B52E40">
        <w:rPr>
          <w:sz w:val="24"/>
          <w:szCs w:val="24"/>
        </w:rPr>
        <w:t xml:space="preserve">None </w:t>
      </w:r>
    </w:p>
    <w:sectPr w:rsidR="002A2389" w:rsidRPr="00B52E40"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35FF0"/>
    <w:multiLevelType w:val="hybridMultilevel"/>
    <w:tmpl w:val="85520B56"/>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3" w15:restartNumberingAfterBreak="0">
    <w:nsid w:val="0779655F"/>
    <w:multiLevelType w:val="hybridMultilevel"/>
    <w:tmpl w:val="66FEB39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7BF6A1B"/>
    <w:multiLevelType w:val="hybridMultilevel"/>
    <w:tmpl w:val="936628C0"/>
    <w:lvl w:ilvl="0" w:tplc="CFEE5684">
      <w:start w:val="5"/>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5"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137A7"/>
    <w:multiLevelType w:val="hybridMultilevel"/>
    <w:tmpl w:val="78467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3D335A"/>
    <w:multiLevelType w:val="hybridMultilevel"/>
    <w:tmpl w:val="C1D8F5DA"/>
    <w:lvl w:ilvl="0" w:tplc="F6CA4356">
      <w:start w:val="1"/>
      <w:numFmt w:val="decimal"/>
      <w:lvlText w:val="%1."/>
      <w:lvlJc w:val="left"/>
      <w:pPr>
        <w:tabs>
          <w:tab w:val="num" w:pos="390"/>
        </w:tabs>
        <w:ind w:left="390" w:hanging="390"/>
      </w:pPr>
      <w:rPr>
        <w:rFonts w:ascii="Arial" w:hAnsi="Arial" w:cs="Arial" w:hint="default"/>
        <w:b w:val="0"/>
        <w:color w:val="auto"/>
        <w:sz w:val="24"/>
        <w:szCs w:val="24"/>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8C3227"/>
    <w:multiLevelType w:val="hybridMultilevel"/>
    <w:tmpl w:val="846A4D8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C12476D"/>
    <w:multiLevelType w:val="hybridMultilevel"/>
    <w:tmpl w:val="92AEA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7"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C034D"/>
    <w:multiLevelType w:val="hybridMultilevel"/>
    <w:tmpl w:val="AFD63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38742B"/>
    <w:multiLevelType w:val="hybridMultilevel"/>
    <w:tmpl w:val="31ECB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0B4210"/>
    <w:multiLevelType w:val="hybridMultilevel"/>
    <w:tmpl w:val="982AF1CE"/>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6"/>
  </w:num>
  <w:num w:numId="8">
    <w:abstractNumId w:val="8"/>
  </w:num>
  <w:num w:numId="9">
    <w:abstractNumId w:val="6"/>
  </w:num>
  <w:num w:numId="10">
    <w:abstractNumId w:val="22"/>
  </w:num>
  <w:num w:numId="11">
    <w:abstractNumId w:val="28"/>
  </w:num>
  <w:num w:numId="12">
    <w:abstractNumId w:val="20"/>
  </w:num>
  <w:num w:numId="13">
    <w:abstractNumId w:val="5"/>
  </w:num>
  <w:num w:numId="14">
    <w:abstractNumId w:val="9"/>
  </w:num>
  <w:num w:numId="15">
    <w:abstractNumId w:val="18"/>
  </w:num>
  <w:num w:numId="16">
    <w:abstractNumId w:val="7"/>
  </w:num>
  <w:num w:numId="17">
    <w:abstractNumId w:val="10"/>
  </w:num>
  <w:num w:numId="18">
    <w:abstractNumId w:val="25"/>
  </w:num>
  <w:num w:numId="19">
    <w:abstractNumId w:val="0"/>
  </w:num>
  <w:num w:numId="20">
    <w:abstractNumId w:val="4"/>
  </w:num>
  <w:num w:numId="21">
    <w:abstractNumId w:val="17"/>
  </w:num>
  <w:num w:numId="22">
    <w:abstractNumId w:val="12"/>
  </w:num>
  <w:num w:numId="23">
    <w:abstractNumId w:val="2"/>
  </w:num>
  <w:num w:numId="24">
    <w:abstractNumId w:val="27"/>
  </w:num>
  <w:num w:numId="25">
    <w:abstractNumId w:val="21"/>
  </w:num>
  <w:num w:numId="26">
    <w:abstractNumId w:val="11"/>
  </w:num>
  <w:num w:numId="27">
    <w:abstractNumId w:val="14"/>
  </w:num>
  <w:num w:numId="28">
    <w:abstractNumId w:val="26"/>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95D8C"/>
    <w:rsid w:val="000967C9"/>
    <w:rsid w:val="000A58A1"/>
    <w:rsid w:val="000A6659"/>
    <w:rsid w:val="000B0E6F"/>
    <w:rsid w:val="000B6DBB"/>
    <w:rsid w:val="000C2383"/>
    <w:rsid w:val="000D2BF2"/>
    <w:rsid w:val="000D5870"/>
    <w:rsid w:val="000F65C0"/>
    <w:rsid w:val="00134D55"/>
    <w:rsid w:val="00180D94"/>
    <w:rsid w:val="00182626"/>
    <w:rsid w:val="001939BA"/>
    <w:rsid w:val="001A6EB0"/>
    <w:rsid w:val="001B441D"/>
    <w:rsid w:val="001C5225"/>
    <w:rsid w:val="001E0219"/>
    <w:rsid w:val="00213BE7"/>
    <w:rsid w:val="00231A1D"/>
    <w:rsid w:val="00240ADD"/>
    <w:rsid w:val="00244120"/>
    <w:rsid w:val="00247C59"/>
    <w:rsid w:val="0026112C"/>
    <w:rsid w:val="00293F9F"/>
    <w:rsid w:val="002A2389"/>
    <w:rsid w:val="002A68FF"/>
    <w:rsid w:val="002B62F0"/>
    <w:rsid w:val="002C08E2"/>
    <w:rsid w:val="002C1794"/>
    <w:rsid w:val="002D2FC5"/>
    <w:rsid w:val="002E6637"/>
    <w:rsid w:val="002E77E3"/>
    <w:rsid w:val="002F0E81"/>
    <w:rsid w:val="00313DB5"/>
    <w:rsid w:val="00332947"/>
    <w:rsid w:val="00333EB4"/>
    <w:rsid w:val="00345915"/>
    <w:rsid w:val="003473D3"/>
    <w:rsid w:val="00365D29"/>
    <w:rsid w:val="003737C1"/>
    <w:rsid w:val="00374F22"/>
    <w:rsid w:val="00385716"/>
    <w:rsid w:val="003B1940"/>
    <w:rsid w:val="003D2FFE"/>
    <w:rsid w:val="003D5F0A"/>
    <w:rsid w:val="003D73DF"/>
    <w:rsid w:val="00400032"/>
    <w:rsid w:val="0042394B"/>
    <w:rsid w:val="004557B2"/>
    <w:rsid w:val="00455A70"/>
    <w:rsid w:val="00473B08"/>
    <w:rsid w:val="00474B5F"/>
    <w:rsid w:val="004A3CE6"/>
    <w:rsid w:val="004A4A1D"/>
    <w:rsid w:val="004B2C9D"/>
    <w:rsid w:val="004B4A47"/>
    <w:rsid w:val="004E667D"/>
    <w:rsid w:val="004E6AF9"/>
    <w:rsid w:val="005031DF"/>
    <w:rsid w:val="005175C4"/>
    <w:rsid w:val="00534BAA"/>
    <w:rsid w:val="0056613F"/>
    <w:rsid w:val="00595F01"/>
    <w:rsid w:val="00597314"/>
    <w:rsid w:val="005A61AF"/>
    <w:rsid w:val="005C1808"/>
    <w:rsid w:val="005D0886"/>
    <w:rsid w:val="005D0BD6"/>
    <w:rsid w:val="005E384D"/>
    <w:rsid w:val="005F2181"/>
    <w:rsid w:val="005F61BC"/>
    <w:rsid w:val="005F724B"/>
    <w:rsid w:val="00606705"/>
    <w:rsid w:val="00625DFF"/>
    <w:rsid w:val="0063072B"/>
    <w:rsid w:val="00636345"/>
    <w:rsid w:val="006475EA"/>
    <w:rsid w:val="00656644"/>
    <w:rsid w:val="00662891"/>
    <w:rsid w:val="006628B7"/>
    <w:rsid w:val="00675FCB"/>
    <w:rsid w:val="00690BAC"/>
    <w:rsid w:val="006A0B87"/>
    <w:rsid w:val="006B3942"/>
    <w:rsid w:val="006B7849"/>
    <w:rsid w:val="006B7DC6"/>
    <w:rsid w:val="006C3914"/>
    <w:rsid w:val="006C4D4C"/>
    <w:rsid w:val="006D3648"/>
    <w:rsid w:val="006D6B23"/>
    <w:rsid w:val="006D7789"/>
    <w:rsid w:val="006F6D50"/>
    <w:rsid w:val="006F7D4A"/>
    <w:rsid w:val="00717E8A"/>
    <w:rsid w:val="0074184E"/>
    <w:rsid w:val="00743829"/>
    <w:rsid w:val="00755F8D"/>
    <w:rsid w:val="007808A7"/>
    <w:rsid w:val="007855AE"/>
    <w:rsid w:val="00796503"/>
    <w:rsid w:val="007B0CB6"/>
    <w:rsid w:val="007B6FAC"/>
    <w:rsid w:val="007D1EA6"/>
    <w:rsid w:val="007D2BDA"/>
    <w:rsid w:val="007D3A46"/>
    <w:rsid w:val="007D42A4"/>
    <w:rsid w:val="007D56C8"/>
    <w:rsid w:val="007E3934"/>
    <w:rsid w:val="007E7303"/>
    <w:rsid w:val="008212A0"/>
    <w:rsid w:val="00837F53"/>
    <w:rsid w:val="00862DDC"/>
    <w:rsid w:val="00897B4F"/>
    <w:rsid w:val="008A15FC"/>
    <w:rsid w:val="008B17CE"/>
    <w:rsid w:val="008D1750"/>
    <w:rsid w:val="008D1D25"/>
    <w:rsid w:val="008D7800"/>
    <w:rsid w:val="008E2910"/>
    <w:rsid w:val="008E4913"/>
    <w:rsid w:val="00900464"/>
    <w:rsid w:val="0090100E"/>
    <w:rsid w:val="00912904"/>
    <w:rsid w:val="00922249"/>
    <w:rsid w:val="00935782"/>
    <w:rsid w:val="00936E7E"/>
    <w:rsid w:val="0093767E"/>
    <w:rsid w:val="00940309"/>
    <w:rsid w:val="00970A66"/>
    <w:rsid w:val="00972A02"/>
    <w:rsid w:val="00984FCB"/>
    <w:rsid w:val="0099517C"/>
    <w:rsid w:val="009A0937"/>
    <w:rsid w:val="009B2ECD"/>
    <w:rsid w:val="009B7914"/>
    <w:rsid w:val="009C19ED"/>
    <w:rsid w:val="009C375F"/>
    <w:rsid w:val="009F430B"/>
    <w:rsid w:val="00A055F2"/>
    <w:rsid w:val="00A160B2"/>
    <w:rsid w:val="00A16271"/>
    <w:rsid w:val="00A566E7"/>
    <w:rsid w:val="00A630BF"/>
    <w:rsid w:val="00A73B25"/>
    <w:rsid w:val="00A774AE"/>
    <w:rsid w:val="00A87BB6"/>
    <w:rsid w:val="00A940D3"/>
    <w:rsid w:val="00A96FCA"/>
    <w:rsid w:val="00AA4BE8"/>
    <w:rsid w:val="00AB1EE3"/>
    <w:rsid w:val="00AB750A"/>
    <w:rsid w:val="00AC0AAB"/>
    <w:rsid w:val="00AC7BA9"/>
    <w:rsid w:val="00AD71FA"/>
    <w:rsid w:val="00B0425E"/>
    <w:rsid w:val="00B26886"/>
    <w:rsid w:val="00B52E40"/>
    <w:rsid w:val="00B84A87"/>
    <w:rsid w:val="00B900E2"/>
    <w:rsid w:val="00B9118E"/>
    <w:rsid w:val="00BA36E3"/>
    <w:rsid w:val="00BB0DBA"/>
    <w:rsid w:val="00BD6115"/>
    <w:rsid w:val="00BD684A"/>
    <w:rsid w:val="00BE0F0E"/>
    <w:rsid w:val="00C02F1E"/>
    <w:rsid w:val="00C05E9C"/>
    <w:rsid w:val="00C07FB1"/>
    <w:rsid w:val="00C32DAE"/>
    <w:rsid w:val="00C348C2"/>
    <w:rsid w:val="00C40E24"/>
    <w:rsid w:val="00C57EC0"/>
    <w:rsid w:val="00C61B80"/>
    <w:rsid w:val="00C6722A"/>
    <w:rsid w:val="00C7617B"/>
    <w:rsid w:val="00C92D9A"/>
    <w:rsid w:val="00C96EF5"/>
    <w:rsid w:val="00CC4F7A"/>
    <w:rsid w:val="00D25064"/>
    <w:rsid w:val="00D32B51"/>
    <w:rsid w:val="00D34668"/>
    <w:rsid w:val="00D3740E"/>
    <w:rsid w:val="00D40335"/>
    <w:rsid w:val="00D41A54"/>
    <w:rsid w:val="00D46252"/>
    <w:rsid w:val="00D71A2D"/>
    <w:rsid w:val="00D82F57"/>
    <w:rsid w:val="00D841A5"/>
    <w:rsid w:val="00D914D2"/>
    <w:rsid w:val="00DA25DB"/>
    <w:rsid w:val="00DB0791"/>
    <w:rsid w:val="00DB1C98"/>
    <w:rsid w:val="00DD4251"/>
    <w:rsid w:val="00E02B50"/>
    <w:rsid w:val="00E03F11"/>
    <w:rsid w:val="00E06DC8"/>
    <w:rsid w:val="00E220B5"/>
    <w:rsid w:val="00E2344F"/>
    <w:rsid w:val="00E33278"/>
    <w:rsid w:val="00E33D93"/>
    <w:rsid w:val="00E609EF"/>
    <w:rsid w:val="00E737A1"/>
    <w:rsid w:val="00E8111D"/>
    <w:rsid w:val="00E8515B"/>
    <w:rsid w:val="00E90AFF"/>
    <w:rsid w:val="00EA0AE0"/>
    <w:rsid w:val="00EA4949"/>
    <w:rsid w:val="00EC70CD"/>
    <w:rsid w:val="00EF2F91"/>
    <w:rsid w:val="00F22AA0"/>
    <w:rsid w:val="00F33EE3"/>
    <w:rsid w:val="00F4213B"/>
    <w:rsid w:val="00F558BE"/>
    <w:rsid w:val="00F70E46"/>
    <w:rsid w:val="00F7452D"/>
    <w:rsid w:val="00F806B8"/>
    <w:rsid w:val="00F849ED"/>
    <w:rsid w:val="00F92398"/>
    <w:rsid w:val="00FA09F1"/>
    <w:rsid w:val="00FD31A0"/>
    <w:rsid w:val="00FE5CB9"/>
    <w:rsid w:val="00FF2B1A"/>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19</cp:revision>
  <cp:lastPrinted>2007-07-12T09:53:00Z</cp:lastPrinted>
  <dcterms:created xsi:type="dcterms:W3CDTF">2022-11-10T13:37:00Z</dcterms:created>
  <dcterms:modified xsi:type="dcterms:W3CDTF">2022-11-15T16:17:00Z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