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903A65">
      <w:pPr>
        <w:spacing w:after="480"/>
        <w:jc w:val="both"/>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903A65">
            <w:pPr>
              <w:pStyle w:val="Heading1"/>
              <w:spacing w:after="240"/>
              <w:jc w:val="both"/>
              <w:outlineLvl w:val="0"/>
            </w:pPr>
            <w:r>
              <w:t>Report f</w:t>
            </w:r>
            <w:r w:rsidRPr="00C869F3">
              <w:t>or:</w:t>
            </w:r>
          </w:p>
        </w:tc>
        <w:tc>
          <w:tcPr>
            <w:tcW w:w="4921" w:type="dxa"/>
            <w:tcBorders>
              <w:bottom w:val="single" w:sz="18" w:space="0" w:color="auto"/>
            </w:tcBorders>
          </w:tcPr>
          <w:p w14:paraId="4A91C7BE" w14:textId="633A0B6C" w:rsidR="00A160B2" w:rsidRDefault="00B84A87" w:rsidP="00903A65">
            <w:pPr>
              <w:pStyle w:val="Heading1"/>
              <w:outlineLvl w:val="0"/>
            </w:pPr>
            <w:r>
              <w:t>Pension Fund</w:t>
            </w:r>
            <w:r w:rsidR="00A160B2">
              <w:t xml:space="preserve"> Committee</w:t>
            </w:r>
          </w:p>
          <w:p w14:paraId="55A88F66" w14:textId="44D52632" w:rsidR="00A160B2" w:rsidRPr="00A160B2" w:rsidRDefault="00A160B2" w:rsidP="00903A65">
            <w:pPr>
              <w:pStyle w:val="Heading1"/>
              <w:jc w:val="both"/>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903A65">
            <w:pPr>
              <w:pStyle w:val="Infotext"/>
              <w:jc w:val="both"/>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903A65">
            <w:pPr>
              <w:pStyle w:val="Infotext"/>
              <w:jc w:val="both"/>
              <w:rPr>
                <w:rFonts w:ascii="Arial Black" w:hAnsi="Arial Black" w:cs="Arial"/>
              </w:rPr>
            </w:pPr>
          </w:p>
        </w:tc>
        <w:tc>
          <w:tcPr>
            <w:tcW w:w="4921" w:type="dxa"/>
            <w:tcBorders>
              <w:top w:val="single" w:sz="18" w:space="0" w:color="auto"/>
            </w:tcBorders>
          </w:tcPr>
          <w:p w14:paraId="495EBCE8" w14:textId="6024F774" w:rsidR="00A160B2" w:rsidRPr="003A5141" w:rsidRDefault="00B3133D" w:rsidP="00903A65">
            <w:pPr>
              <w:pStyle w:val="Infotext"/>
              <w:jc w:val="both"/>
              <w:rPr>
                <w:rFonts w:cs="Arial"/>
                <w:sz w:val="24"/>
                <w:szCs w:val="24"/>
              </w:rPr>
            </w:pPr>
            <w:r w:rsidRPr="003A5141">
              <w:rPr>
                <w:rFonts w:cs="Arial"/>
                <w:sz w:val="24"/>
                <w:szCs w:val="24"/>
              </w:rPr>
              <w:t>23 November</w:t>
            </w:r>
            <w:r w:rsidR="00F4053A" w:rsidRPr="003A5141">
              <w:rPr>
                <w:rFonts w:cs="Arial"/>
                <w:sz w:val="24"/>
                <w:szCs w:val="24"/>
              </w:rPr>
              <w:t xml:space="preserve"> 2022</w:t>
            </w:r>
          </w:p>
        </w:tc>
      </w:tr>
      <w:tr w:rsidR="00A160B2" w14:paraId="79B879D4" w14:textId="77777777" w:rsidTr="007855AE">
        <w:tc>
          <w:tcPr>
            <w:tcW w:w="3388" w:type="dxa"/>
          </w:tcPr>
          <w:p w14:paraId="5EBA2504" w14:textId="77777777" w:rsidR="00A160B2" w:rsidRPr="00F92398" w:rsidRDefault="00A160B2" w:rsidP="00903A65">
            <w:pPr>
              <w:pStyle w:val="Infotext"/>
              <w:jc w:val="both"/>
              <w:rPr>
                <w:rFonts w:ascii="Arial Black" w:hAnsi="Arial Black" w:cs="Arial"/>
              </w:rPr>
            </w:pPr>
            <w:r w:rsidRPr="00F92398">
              <w:rPr>
                <w:rFonts w:ascii="Arial Black" w:hAnsi="Arial Black" w:cs="Arial"/>
              </w:rPr>
              <w:t>Subject:</w:t>
            </w:r>
          </w:p>
          <w:p w14:paraId="262AF561" w14:textId="77777777" w:rsidR="00A160B2" w:rsidRPr="00F92398" w:rsidRDefault="00A160B2" w:rsidP="00903A65">
            <w:pPr>
              <w:pStyle w:val="Infotext"/>
              <w:jc w:val="both"/>
              <w:rPr>
                <w:rFonts w:ascii="Arial Black" w:hAnsi="Arial Black"/>
              </w:rPr>
            </w:pPr>
          </w:p>
        </w:tc>
        <w:tc>
          <w:tcPr>
            <w:tcW w:w="4921" w:type="dxa"/>
          </w:tcPr>
          <w:p w14:paraId="5914456E" w14:textId="782436AB" w:rsidR="00A160B2" w:rsidRPr="003A5141" w:rsidRDefault="00D7696B" w:rsidP="00903A65">
            <w:pPr>
              <w:pStyle w:val="Infotext"/>
              <w:jc w:val="both"/>
              <w:rPr>
                <w:rFonts w:cs="Arial"/>
                <w:sz w:val="24"/>
                <w:szCs w:val="24"/>
              </w:rPr>
            </w:pPr>
            <w:r w:rsidRPr="003A5141">
              <w:rPr>
                <w:rFonts w:cs="Arial"/>
                <w:sz w:val="24"/>
                <w:szCs w:val="24"/>
              </w:rPr>
              <w:t xml:space="preserve">Review of </w:t>
            </w:r>
            <w:r w:rsidR="00C428F2" w:rsidRPr="003A5141">
              <w:rPr>
                <w:rFonts w:cs="Arial"/>
                <w:sz w:val="24"/>
                <w:szCs w:val="24"/>
              </w:rPr>
              <w:t>Pension Fund Risk Register</w:t>
            </w:r>
          </w:p>
        </w:tc>
      </w:tr>
      <w:tr w:rsidR="00A160B2" w14:paraId="3A5E0F07" w14:textId="77777777" w:rsidTr="007855AE">
        <w:tc>
          <w:tcPr>
            <w:tcW w:w="3388" w:type="dxa"/>
          </w:tcPr>
          <w:p w14:paraId="3526B74C" w14:textId="77777777" w:rsidR="00A160B2" w:rsidRPr="00F92398" w:rsidRDefault="00A160B2" w:rsidP="00903A65">
            <w:pPr>
              <w:pStyle w:val="Infotext"/>
              <w:jc w:val="both"/>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903A65">
            <w:pPr>
              <w:pStyle w:val="Infotext"/>
              <w:jc w:val="both"/>
              <w:rPr>
                <w:rFonts w:ascii="Arial Black" w:hAnsi="Arial Black" w:cs="Arial"/>
              </w:rPr>
            </w:pPr>
          </w:p>
        </w:tc>
        <w:tc>
          <w:tcPr>
            <w:tcW w:w="4921" w:type="dxa"/>
          </w:tcPr>
          <w:p w14:paraId="50378A74" w14:textId="77777777" w:rsidR="00855586" w:rsidRPr="003A5141" w:rsidRDefault="00855586" w:rsidP="00903A65">
            <w:pPr>
              <w:pStyle w:val="Infotext"/>
              <w:jc w:val="both"/>
              <w:rPr>
                <w:rFonts w:cs="Arial"/>
                <w:sz w:val="24"/>
                <w:szCs w:val="24"/>
              </w:rPr>
            </w:pPr>
            <w:r w:rsidRPr="003A5141">
              <w:rPr>
                <w:rFonts w:cs="Arial"/>
                <w:sz w:val="24"/>
                <w:szCs w:val="24"/>
              </w:rPr>
              <w:t>Dawn Calvert – Director of Finance and Assurance</w:t>
            </w:r>
          </w:p>
          <w:p w14:paraId="3CF266C9" w14:textId="77777777" w:rsidR="00A160B2" w:rsidRPr="003A5141" w:rsidRDefault="00A160B2" w:rsidP="00903A65">
            <w:pPr>
              <w:pStyle w:val="Infotext"/>
              <w:jc w:val="both"/>
              <w:rPr>
                <w:rFonts w:cs="Arial"/>
                <w:sz w:val="24"/>
                <w:szCs w:val="24"/>
              </w:rPr>
            </w:pPr>
          </w:p>
        </w:tc>
      </w:tr>
      <w:tr w:rsidR="00A160B2" w14:paraId="7AFCAE74" w14:textId="77777777" w:rsidTr="007855AE">
        <w:tc>
          <w:tcPr>
            <w:tcW w:w="3388" w:type="dxa"/>
          </w:tcPr>
          <w:p w14:paraId="4573497F" w14:textId="77777777" w:rsidR="00A160B2" w:rsidRPr="00F92398" w:rsidRDefault="00A160B2" w:rsidP="00903A65">
            <w:pPr>
              <w:pStyle w:val="Infotext"/>
              <w:jc w:val="both"/>
              <w:rPr>
                <w:rFonts w:ascii="Arial Black" w:hAnsi="Arial Black" w:cs="Arial"/>
              </w:rPr>
            </w:pPr>
            <w:r w:rsidRPr="00F92398">
              <w:rPr>
                <w:rFonts w:ascii="Arial Black" w:hAnsi="Arial Black" w:cs="Arial"/>
              </w:rPr>
              <w:t>Exempt:</w:t>
            </w:r>
          </w:p>
          <w:p w14:paraId="72D771B0" w14:textId="77777777" w:rsidR="00A160B2" w:rsidRPr="00F92398" w:rsidRDefault="00A160B2" w:rsidP="00903A65">
            <w:pPr>
              <w:pStyle w:val="Infotext"/>
              <w:jc w:val="both"/>
              <w:rPr>
                <w:rFonts w:ascii="Arial Black" w:hAnsi="Arial Black" w:cs="Arial"/>
              </w:rPr>
            </w:pPr>
          </w:p>
        </w:tc>
        <w:tc>
          <w:tcPr>
            <w:tcW w:w="4921" w:type="dxa"/>
          </w:tcPr>
          <w:p w14:paraId="4E3163FF" w14:textId="10CBA259" w:rsidR="00A160B2" w:rsidRPr="003A5141" w:rsidRDefault="00A160B2" w:rsidP="00903A65">
            <w:pPr>
              <w:pStyle w:val="Infotext"/>
              <w:jc w:val="both"/>
              <w:rPr>
                <w:rFonts w:cs="Arial"/>
                <w:sz w:val="24"/>
                <w:szCs w:val="24"/>
              </w:rPr>
            </w:pPr>
            <w:r w:rsidRPr="003A5141">
              <w:rPr>
                <w:rFonts w:cs="Arial"/>
                <w:sz w:val="24"/>
                <w:szCs w:val="24"/>
              </w:rPr>
              <w:t>No</w:t>
            </w:r>
          </w:p>
          <w:p w14:paraId="4C873B59" w14:textId="366A82C0" w:rsidR="00A160B2" w:rsidRPr="003A5141" w:rsidRDefault="00A160B2" w:rsidP="00903A65">
            <w:pPr>
              <w:pStyle w:val="Infotext"/>
              <w:jc w:val="both"/>
              <w:rPr>
                <w:rFonts w:cs="Arial"/>
                <w:sz w:val="24"/>
                <w:szCs w:val="24"/>
              </w:rPr>
            </w:pPr>
          </w:p>
        </w:tc>
      </w:tr>
      <w:tr w:rsidR="00A160B2" w14:paraId="521D9222" w14:textId="77777777" w:rsidTr="007855AE">
        <w:tc>
          <w:tcPr>
            <w:tcW w:w="3388" w:type="dxa"/>
          </w:tcPr>
          <w:p w14:paraId="4ABD9246" w14:textId="77777777" w:rsidR="00A160B2" w:rsidRDefault="00A160B2" w:rsidP="00903A65">
            <w:pPr>
              <w:pStyle w:val="Infotext"/>
              <w:jc w:val="both"/>
              <w:rPr>
                <w:rFonts w:ascii="Arial Black" w:hAnsi="Arial Black" w:cs="Arial"/>
              </w:rPr>
            </w:pPr>
            <w:r>
              <w:rPr>
                <w:rFonts w:ascii="Arial Black" w:hAnsi="Arial Black" w:cs="Arial"/>
              </w:rPr>
              <w:t>Wards affected:</w:t>
            </w:r>
          </w:p>
          <w:p w14:paraId="65A16444" w14:textId="77777777" w:rsidR="00A160B2" w:rsidRPr="00F92398" w:rsidRDefault="00A160B2" w:rsidP="00903A65">
            <w:pPr>
              <w:pStyle w:val="Infotext"/>
              <w:jc w:val="both"/>
              <w:rPr>
                <w:rFonts w:ascii="Arial Black" w:hAnsi="Arial Black" w:cs="Arial"/>
              </w:rPr>
            </w:pPr>
          </w:p>
        </w:tc>
        <w:tc>
          <w:tcPr>
            <w:tcW w:w="4921" w:type="dxa"/>
          </w:tcPr>
          <w:p w14:paraId="6CD568AC" w14:textId="07376E43" w:rsidR="00A160B2" w:rsidRPr="003A5141" w:rsidRDefault="00F679DA" w:rsidP="00903A65">
            <w:pPr>
              <w:pStyle w:val="Infotext"/>
              <w:jc w:val="both"/>
              <w:rPr>
                <w:bCs/>
                <w:sz w:val="24"/>
                <w:szCs w:val="24"/>
              </w:rPr>
            </w:pPr>
            <w:r w:rsidRPr="003A5141">
              <w:rPr>
                <w:bCs/>
                <w:sz w:val="24"/>
                <w:szCs w:val="24"/>
              </w:rPr>
              <w:t>N</w:t>
            </w:r>
            <w:r w:rsidR="003A5141" w:rsidRPr="003A5141">
              <w:rPr>
                <w:bCs/>
                <w:sz w:val="24"/>
                <w:szCs w:val="24"/>
              </w:rPr>
              <w:t>one</w:t>
            </w:r>
          </w:p>
        </w:tc>
      </w:tr>
      <w:tr w:rsidR="00A160B2" w14:paraId="7C35C184" w14:textId="77777777" w:rsidTr="007855AE">
        <w:tc>
          <w:tcPr>
            <w:tcW w:w="3388" w:type="dxa"/>
          </w:tcPr>
          <w:p w14:paraId="537C01BC" w14:textId="77777777" w:rsidR="00A160B2" w:rsidRPr="00F92398" w:rsidRDefault="00A160B2" w:rsidP="00903A65">
            <w:pPr>
              <w:pStyle w:val="Infotext"/>
              <w:jc w:val="both"/>
              <w:rPr>
                <w:rFonts w:ascii="Arial Black" w:hAnsi="Arial Black" w:cs="Arial"/>
              </w:rPr>
            </w:pPr>
          </w:p>
          <w:p w14:paraId="575B6BE7" w14:textId="77777777" w:rsidR="00A160B2" w:rsidRPr="00F92398" w:rsidRDefault="00A160B2" w:rsidP="00903A65">
            <w:pPr>
              <w:pStyle w:val="Infotext"/>
              <w:jc w:val="both"/>
              <w:rPr>
                <w:rFonts w:ascii="Arial Black" w:hAnsi="Arial Black" w:cs="Arial"/>
              </w:rPr>
            </w:pPr>
            <w:r w:rsidRPr="00F92398">
              <w:rPr>
                <w:rFonts w:ascii="Arial Black" w:hAnsi="Arial Black" w:cs="Arial"/>
              </w:rPr>
              <w:t>Enclosures:</w:t>
            </w:r>
          </w:p>
          <w:p w14:paraId="69475841" w14:textId="77777777" w:rsidR="00A160B2" w:rsidRPr="00F92398" w:rsidRDefault="00A160B2" w:rsidP="00903A65">
            <w:pPr>
              <w:pStyle w:val="Infotext"/>
              <w:jc w:val="both"/>
              <w:rPr>
                <w:rFonts w:ascii="Arial Black" w:hAnsi="Arial Black" w:cs="Arial"/>
              </w:rPr>
            </w:pPr>
          </w:p>
        </w:tc>
        <w:tc>
          <w:tcPr>
            <w:tcW w:w="4921" w:type="dxa"/>
          </w:tcPr>
          <w:p w14:paraId="71119F8F" w14:textId="77777777" w:rsidR="00A160B2" w:rsidRPr="003A5141" w:rsidRDefault="00A160B2" w:rsidP="00903A65">
            <w:pPr>
              <w:pStyle w:val="Infotext"/>
              <w:jc w:val="both"/>
              <w:rPr>
                <w:sz w:val="24"/>
                <w:szCs w:val="24"/>
              </w:rPr>
            </w:pPr>
          </w:p>
          <w:p w14:paraId="1877BAD0" w14:textId="77777777" w:rsidR="00855586" w:rsidRPr="003A5141" w:rsidRDefault="00855586" w:rsidP="00903A65">
            <w:pPr>
              <w:pStyle w:val="Infotext"/>
              <w:jc w:val="both"/>
              <w:rPr>
                <w:sz w:val="24"/>
                <w:szCs w:val="24"/>
              </w:rPr>
            </w:pPr>
            <w:r w:rsidRPr="0029071B">
              <w:rPr>
                <w:b/>
                <w:bCs/>
                <w:sz w:val="24"/>
                <w:szCs w:val="24"/>
              </w:rPr>
              <w:t>Appendix 1</w:t>
            </w:r>
            <w:r w:rsidRPr="003A5141">
              <w:rPr>
                <w:sz w:val="24"/>
                <w:szCs w:val="24"/>
              </w:rPr>
              <w:t xml:space="preserve"> - Risk Score Summary</w:t>
            </w:r>
          </w:p>
          <w:p w14:paraId="538E8D63" w14:textId="77777777" w:rsidR="0029071B" w:rsidRDefault="0029071B" w:rsidP="00903A65">
            <w:pPr>
              <w:pStyle w:val="Infotext"/>
              <w:jc w:val="both"/>
              <w:rPr>
                <w:b/>
                <w:bCs/>
                <w:sz w:val="24"/>
                <w:szCs w:val="24"/>
              </w:rPr>
            </w:pPr>
          </w:p>
          <w:p w14:paraId="4446790E" w14:textId="6156A1EB" w:rsidR="00855586" w:rsidRPr="003A5141" w:rsidRDefault="00855586" w:rsidP="00903A65">
            <w:pPr>
              <w:pStyle w:val="Infotext"/>
              <w:jc w:val="both"/>
              <w:rPr>
                <w:sz w:val="24"/>
                <w:szCs w:val="24"/>
              </w:rPr>
            </w:pPr>
            <w:r w:rsidRPr="0029071B">
              <w:rPr>
                <w:b/>
                <w:bCs/>
                <w:sz w:val="24"/>
                <w:szCs w:val="24"/>
              </w:rPr>
              <w:t>Appendix 2</w:t>
            </w:r>
            <w:r w:rsidRPr="003A5141">
              <w:rPr>
                <w:sz w:val="24"/>
                <w:szCs w:val="24"/>
              </w:rPr>
              <w:t xml:space="preserve"> - Pension Fund Risk Register - Key Risks (Red or Amber rated)</w:t>
            </w:r>
          </w:p>
          <w:p w14:paraId="78A5AA6F" w14:textId="77777777" w:rsidR="0029071B" w:rsidRDefault="0029071B" w:rsidP="00903A65">
            <w:pPr>
              <w:pStyle w:val="Infotext"/>
              <w:jc w:val="both"/>
              <w:rPr>
                <w:b/>
                <w:bCs/>
                <w:sz w:val="24"/>
                <w:szCs w:val="24"/>
              </w:rPr>
            </w:pPr>
          </w:p>
          <w:p w14:paraId="4C232B02" w14:textId="63F63D97" w:rsidR="00A160B2" w:rsidRPr="003A5141" w:rsidRDefault="00855586" w:rsidP="00903A65">
            <w:pPr>
              <w:pStyle w:val="Infotext"/>
              <w:jc w:val="both"/>
              <w:rPr>
                <w:sz w:val="24"/>
                <w:szCs w:val="24"/>
              </w:rPr>
            </w:pPr>
            <w:r w:rsidRPr="0029071B">
              <w:rPr>
                <w:b/>
                <w:bCs/>
                <w:sz w:val="24"/>
                <w:szCs w:val="24"/>
              </w:rPr>
              <w:t>Appendix 3</w:t>
            </w:r>
            <w:r w:rsidRPr="003A5141">
              <w:rPr>
                <w:sz w:val="24"/>
                <w:szCs w:val="24"/>
              </w:rPr>
              <w:t xml:space="preserve"> - Pension Fund Risk Register - Lower Risks (Green rated)</w:t>
            </w:r>
          </w:p>
        </w:tc>
      </w:tr>
    </w:tbl>
    <w:p w14:paraId="18A939CB" w14:textId="7259CE31" w:rsidR="007855AE" w:rsidRDefault="007855AE" w:rsidP="00903A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5C637DD" w:rsidR="00A160B2" w:rsidRDefault="00A160B2" w:rsidP="00903A65">
            <w:pPr>
              <w:pStyle w:val="Heading2"/>
              <w:spacing w:before="240" w:after="240"/>
              <w:jc w:val="both"/>
            </w:pPr>
            <w:r>
              <w:t>Section 1 – Summary and Recommendation</w:t>
            </w:r>
          </w:p>
        </w:tc>
      </w:tr>
      <w:tr w:rsidR="00A160B2" w14:paraId="281F4D12" w14:textId="77777777" w:rsidTr="007855AE">
        <w:trPr>
          <w:tblHeader/>
        </w:trPr>
        <w:tc>
          <w:tcPr>
            <w:tcW w:w="8309" w:type="dxa"/>
            <w:tcBorders>
              <w:left w:val="nil"/>
              <w:bottom w:val="nil"/>
              <w:right w:val="nil"/>
            </w:tcBorders>
          </w:tcPr>
          <w:p w14:paraId="6B8695B9" w14:textId="77777777" w:rsidR="00855586" w:rsidRPr="008658CB" w:rsidRDefault="00855586" w:rsidP="00903A65">
            <w:pPr>
              <w:jc w:val="both"/>
            </w:pPr>
            <w:r w:rsidRPr="008658CB">
              <w:t xml:space="preserve">This report sets out the updated Pension Fund Risk Register for the Committee to review. </w:t>
            </w:r>
          </w:p>
          <w:p w14:paraId="252AD252" w14:textId="77777777" w:rsidR="00855586" w:rsidRDefault="00855586" w:rsidP="00903A65">
            <w:pPr>
              <w:jc w:val="both"/>
              <w:rPr>
                <w:rFonts w:ascii="Arial Bold" w:hAnsi="Arial Bold"/>
                <w:b/>
                <w:sz w:val="28"/>
              </w:rPr>
            </w:pPr>
          </w:p>
          <w:p w14:paraId="2BF53DB5" w14:textId="77777777" w:rsidR="00903A65" w:rsidRDefault="00855586" w:rsidP="00903A65">
            <w:pPr>
              <w:jc w:val="both"/>
              <w:rPr>
                <w:rFonts w:ascii="Arial Bold" w:hAnsi="Arial Bold"/>
                <w:b/>
                <w:sz w:val="28"/>
              </w:rPr>
            </w:pPr>
            <w:r w:rsidRPr="00A160B2">
              <w:rPr>
                <w:rFonts w:ascii="Arial Bold" w:hAnsi="Arial Bold"/>
                <w:b/>
                <w:sz w:val="28"/>
              </w:rPr>
              <w:t>Recommendation:</w:t>
            </w:r>
          </w:p>
          <w:p w14:paraId="714CBDEE" w14:textId="720D93B1" w:rsidR="00A160B2" w:rsidRDefault="00855586" w:rsidP="00903A65">
            <w:pPr>
              <w:jc w:val="both"/>
            </w:pPr>
            <w:r>
              <w:t xml:space="preserve">The Committee is requested to </w:t>
            </w:r>
            <w:r w:rsidRPr="00883622">
              <w:rPr>
                <w:szCs w:val="24"/>
              </w:rPr>
              <w:t>consider the updated risk register and comment accordingly</w:t>
            </w:r>
            <w:r>
              <w:rPr>
                <w:szCs w:val="24"/>
              </w:rPr>
              <w:t>.</w:t>
            </w:r>
          </w:p>
        </w:tc>
      </w:tr>
    </w:tbl>
    <w:p w14:paraId="53DC7DE2" w14:textId="525151BF" w:rsidR="002A2389" w:rsidRDefault="002A2389" w:rsidP="00903A65">
      <w:pPr>
        <w:pStyle w:val="Heading2"/>
        <w:jc w:val="both"/>
      </w:pPr>
      <w:r>
        <w:t>Section 2 – Report</w:t>
      </w:r>
    </w:p>
    <w:p w14:paraId="14B9F9DC" w14:textId="3DB32EDC" w:rsidR="00855586" w:rsidRDefault="00855586" w:rsidP="00903A65">
      <w:pPr>
        <w:jc w:val="both"/>
      </w:pPr>
    </w:p>
    <w:p w14:paraId="1E1981C5" w14:textId="085529CA" w:rsidR="00855586" w:rsidRDefault="00855586" w:rsidP="00903A65">
      <w:pPr>
        <w:jc w:val="both"/>
        <w:rPr>
          <w:b/>
          <w:bCs/>
        </w:rPr>
      </w:pPr>
      <w:r>
        <w:rPr>
          <w:b/>
          <w:bCs/>
        </w:rPr>
        <w:t>Background</w:t>
      </w:r>
    </w:p>
    <w:p w14:paraId="4630D2FE" w14:textId="77777777" w:rsidR="00903A65" w:rsidRPr="00855586" w:rsidRDefault="00903A65" w:rsidP="00903A65">
      <w:pPr>
        <w:jc w:val="both"/>
        <w:rPr>
          <w:b/>
          <w:bCs/>
        </w:rPr>
      </w:pPr>
    </w:p>
    <w:p w14:paraId="70CDCBBB" w14:textId="2080E720" w:rsidR="00855586" w:rsidRDefault="00855586" w:rsidP="00903A65">
      <w:pPr>
        <w:numPr>
          <w:ilvl w:val="0"/>
          <w:numId w:val="16"/>
        </w:numPr>
        <w:jc w:val="both"/>
      </w:pPr>
      <w:r w:rsidRPr="00EF38A4">
        <w:t xml:space="preserve">In accordance with best practice the Pension Fund has a risk register which was first considered by the Pension Fund Committee in March </w:t>
      </w:r>
      <w:r w:rsidRPr="001D79AF">
        <w:lastRenderedPageBreak/>
        <w:t xml:space="preserve">2015. The risk register has </w:t>
      </w:r>
      <w:r w:rsidR="000935BE" w:rsidRPr="001D79AF">
        <w:t xml:space="preserve">since </w:t>
      </w:r>
      <w:r w:rsidRPr="001D79AF">
        <w:t>been reviewed regularly, most recently</w:t>
      </w:r>
      <w:r>
        <w:t xml:space="preserve"> at the Committee’s meeting on </w:t>
      </w:r>
      <w:r w:rsidR="00426893">
        <w:t>9 March 2022.</w:t>
      </w:r>
      <w:r>
        <w:t xml:space="preserve"> </w:t>
      </w:r>
    </w:p>
    <w:p w14:paraId="3D9A63AC" w14:textId="77777777" w:rsidR="00855586" w:rsidRDefault="00855586" w:rsidP="00903A65">
      <w:pPr>
        <w:ind w:left="720"/>
        <w:jc w:val="both"/>
      </w:pPr>
    </w:p>
    <w:p w14:paraId="220DCB35" w14:textId="2177B251" w:rsidR="00855586" w:rsidRDefault="00855586" w:rsidP="00903A65">
      <w:pPr>
        <w:numPr>
          <w:ilvl w:val="0"/>
          <w:numId w:val="16"/>
        </w:numPr>
        <w:jc w:val="both"/>
      </w:pPr>
      <w:r>
        <w:t xml:space="preserve">In reviewing the existing risk register, officers have followed the Council’s standard practice and approach to the scoring of each risk (assessing </w:t>
      </w:r>
      <w:r w:rsidRPr="001D79AF">
        <w:t>the likelihood and impact on the Pension Fund) – this is set out at</w:t>
      </w:r>
      <w:r>
        <w:t xml:space="preserve"> Appendix 1, which also indicates which risk numbers are associated with each risk score.</w:t>
      </w:r>
    </w:p>
    <w:p w14:paraId="19774BE6" w14:textId="77777777" w:rsidR="00855586" w:rsidRDefault="00855586" w:rsidP="00903A65">
      <w:pPr>
        <w:pStyle w:val="ListParagraph"/>
        <w:jc w:val="both"/>
      </w:pPr>
    </w:p>
    <w:p w14:paraId="79328C8A" w14:textId="697F053B" w:rsidR="00855586" w:rsidRDefault="00951882" w:rsidP="00903A65">
      <w:pPr>
        <w:numPr>
          <w:ilvl w:val="0"/>
          <w:numId w:val="16"/>
        </w:numPr>
        <w:jc w:val="both"/>
      </w:pPr>
      <w:r w:rsidRPr="001D79AF">
        <w:t>The revised presentation of the risks</w:t>
      </w:r>
      <w:r w:rsidR="00855586" w:rsidRPr="001D79AF">
        <w:t xml:space="preserve"> agreed by the Committee in Novem</w:t>
      </w:r>
      <w:r w:rsidRPr="001D79AF">
        <w:t>ber 2020 is retained. This</w:t>
      </w:r>
      <w:r w:rsidR="00855586" w:rsidRPr="001D79AF">
        <w:t xml:space="preserve"> highlight</w:t>
      </w:r>
      <w:r w:rsidRPr="001D79AF">
        <w:t>s</w:t>
      </w:r>
      <w:r w:rsidR="00855586" w:rsidRPr="001D79AF">
        <w:t xml:space="preserve"> in a single list (Appendix 2) th</w:t>
      </w:r>
      <w:r w:rsidR="000935BE" w:rsidRPr="001D79AF">
        <w:t>e twelve</w:t>
      </w:r>
      <w:r w:rsidR="00855586" w:rsidRPr="001D79AF">
        <w:t xml:space="preserve"> risks whose scores equate to an “Amber” </w:t>
      </w:r>
      <w:r w:rsidR="00855586" w:rsidRPr="005D496C">
        <w:t>(</w:t>
      </w:r>
      <w:r w:rsidR="000935BE" w:rsidRPr="005D496C">
        <w:t>8</w:t>
      </w:r>
      <w:r w:rsidR="00855586" w:rsidRPr="005D496C">
        <w:t xml:space="preserve"> risks) or</w:t>
      </w:r>
      <w:r w:rsidR="00855586" w:rsidRPr="001D79AF">
        <w:t xml:space="preserve"> “Red” rating </w:t>
      </w:r>
      <w:r w:rsidR="00855586" w:rsidRPr="005D496C">
        <w:t>(</w:t>
      </w:r>
      <w:r w:rsidR="005D496C" w:rsidRPr="005D496C">
        <w:t>5</w:t>
      </w:r>
      <w:r w:rsidR="00855586" w:rsidRPr="005D496C">
        <w:t xml:space="preserve"> risks). It</w:t>
      </w:r>
      <w:r w:rsidR="00855586" w:rsidRPr="001D79AF">
        <w:t xml:space="preserve"> is these risks which are likely to have the biggest impact</w:t>
      </w:r>
      <w:r w:rsidR="00855586">
        <w:t xml:space="preserve"> on the Fund and hence require particularly close attention. </w:t>
      </w:r>
    </w:p>
    <w:p w14:paraId="23468BFC" w14:textId="77777777" w:rsidR="00855586" w:rsidRDefault="00855586" w:rsidP="00903A65">
      <w:pPr>
        <w:pStyle w:val="ListParagraph"/>
        <w:jc w:val="both"/>
      </w:pPr>
    </w:p>
    <w:p w14:paraId="4155AE54" w14:textId="77E07BCB" w:rsidR="00951882" w:rsidRDefault="00855586" w:rsidP="00903A65">
      <w:pPr>
        <w:numPr>
          <w:ilvl w:val="0"/>
          <w:numId w:val="16"/>
        </w:numPr>
        <w:jc w:val="both"/>
      </w:pPr>
      <w:r>
        <w:t>Those risks which are considered lower and whose current scores equate to a “green” rating” (</w:t>
      </w:r>
      <w:r w:rsidR="000935BE" w:rsidRPr="006E32E1">
        <w:t>24</w:t>
      </w:r>
      <w:r w:rsidRPr="006E32E1">
        <w:t xml:space="preserve"> Risks)</w:t>
      </w:r>
      <w:r>
        <w:t xml:space="preserve"> are shown in appendix 3. A</w:t>
      </w:r>
      <w:r w:rsidR="00951882">
        <w:t xml:space="preserve">s agreed </w:t>
      </w:r>
      <w:r w:rsidR="00D364C4">
        <w:t>in November 2020</w:t>
      </w:r>
      <w:r w:rsidR="00951882">
        <w:t xml:space="preserve">, those risks which are </w:t>
      </w:r>
      <w:r>
        <w:t xml:space="preserve">really “business as usual” activity and managed operationally on a </w:t>
      </w:r>
      <w:proofErr w:type="gramStart"/>
      <w:r>
        <w:t>day to day</w:t>
      </w:r>
      <w:proofErr w:type="gramEnd"/>
      <w:r>
        <w:t xml:space="preserve">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03A65">
      <w:pPr>
        <w:ind w:left="720"/>
        <w:jc w:val="both"/>
      </w:pPr>
    </w:p>
    <w:p w14:paraId="144C4425" w14:textId="6484FCEE" w:rsidR="00940FCA" w:rsidRPr="001D79AF" w:rsidRDefault="00426893" w:rsidP="00903A65">
      <w:pPr>
        <w:numPr>
          <w:ilvl w:val="0"/>
          <w:numId w:val="16"/>
        </w:numPr>
        <w:jc w:val="both"/>
        <w:rPr>
          <w:szCs w:val="24"/>
        </w:rPr>
      </w:pPr>
      <w:proofErr w:type="gramStart"/>
      <w:r>
        <w:rPr>
          <w:szCs w:val="24"/>
        </w:rPr>
        <w:t>A number of</w:t>
      </w:r>
      <w:proofErr w:type="gramEnd"/>
      <w:r>
        <w:rPr>
          <w:szCs w:val="24"/>
        </w:rPr>
        <w:t xml:space="preserve"> the</w:t>
      </w:r>
      <w:r w:rsidR="001D79AF">
        <w:rPr>
          <w:szCs w:val="24"/>
        </w:rPr>
        <w:t xml:space="preserve"> key risks are unchanged since the last review. However, further mitigations have been identified against some of th</w:t>
      </w:r>
      <w:r>
        <w:rPr>
          <w:szCs w:val="24"/>
        </w:rPr>
        <w:t>os</w:t>
      </w:r>
      <w:r w:rsidR="001D79AF">
        <w:rPr>
          <w:szCs w:val="24"/>
        </w:rPr>
        <w:t>e risks shown in Appendix 2.</w:t>
      </w:r>
      <w:r w:rsidR="00940FCA" w:rsidRPr="001D79AF">
        <w:rPr>
          <w:szCs w:val="24"/>
        </w:rPr>
        <w:t xml:space="preserve"> </w:t>
      </w:r>
      <w:r w:rsidR="005D496C">
        <w:rPr>
          <w:szCs w:val="24"/>
        </w:rPr>
        <w:t xml:space="preserve">In those cases, the changes have been shaded light green for ease of reference. </w:t>
      </w:r>
    </w:p>
    <w:p w14:paraId="4CDEF444" w14:textId="77777777" w:rsidR="00940FCA" w:rsidRDefault="00940FCA" w:rsidP="00903A65">
      <w:pPr>
        <w:pStyle w:val="ListParagraph"/>
        <w:jc w:val="both"/>
        <w:rPr>
          <w:szCs w:val="24"/>
        </w:rPr>
      </w:pPr>
    </w:p>
    <w:p w14:paraId="57A81F7F" w14:textId="36CC83F4" w:rsidR="00426893" w:rsidRDefault="00426893" w:rsidP="00903A65">
      <w:pPr>
        <w:numPr>
          <w:ilvl w:val="0"/>
          <w:numId w:val="16"/>
        </w:numPr>
        <w:jc w:val="both"/>
        <w:rPr>
          <w:szCs w:val="24"/>
        </w:rPr>
      </w:pPr>
      <w:r>
        <w:rPr>
          <w:szCs w:val="24"/>
        </w:rPr>
        <w:t xml:space="preserve">Since the last review, a new </w:t>
      </w:r>
      <w:r w:rsidR="00271E70">
        <w:rPr>
          <w:szCs w:val="24"/>
        </w:rPr>
        <w:t>red</w:t>
      </w:r>
      <w:r>
        <w:rPr>
          <w:szCs w:val="24"/>
        </w:rPr>
        <w:t xml:space="preserve"> risk has been identified – this relates to the Fund becoming more cash negative from 2022/23 </w:t>
      </w:r>
      <w:proofErr w:type="gramStart"/>
      <w:r>
        <w:rPr>
          <w:szCs w:val="24"/>
        </w:rPr>
        <w:t>a</w:t>
      </w:r>
      <w:r w:rsidR="001D79AF" w:rsidRPr="001D79AF">
        <w:rPr>
          <w:szCs w:val="24"/>
        </w:rPr>
        <w:t>s</w:t>
      </w:r>
      <w:r>
        <w:rPr>
          <w:szCs w:val="24"/>
        </w:rPr>
        <w:t xml:space="preserve"> a result of</w:t>
      </w:r>
      <w:proofErr w:type="gramEnd"/>
      <w:r>
        <w:rPr>
          <w:szCs w:val="24"/>
        </w:rPr>
        <w:t xml:space="preserve"> the likely level of the increase in Pensions payable (this is linked to the Consumer Prices Index - CPI) and a reduction in the employer contributions from April 2023. In the register, the approaches to mitigating this risk by ensuring adequate liquidity in the Fund’s investments are set out.</w:t>
      </w:r>
      <w:r w:rsidR="00800AB1">
        <w:rPr>
          <w:szCs w:val="24"/>
        </w:rPr>
        <w:t xml:space="preserve"> These include the development of a </w:t>
      </w:r>
      <w:proofErr w:type="gramStart"/>
      <w:r w:rsidR="00800AB1">
        <w:rPr>
          <w:szCs w:val="24"/>
        </w:rPr>
        <w:t>long term</w:t>
      </w:r>
      <w:proofErr w:type="gramEnd"/>
      <w:r w:rsidR="00800AB1">
        <w:rPr>
          <w:szCs w:val="24"/>
        </w:rPr>
        <w:t xml:space="preserve"> cash flow model which will inform the Fund’s review of its Investment Strategy. Once that work has been completed it is expected that the risk will be reduced, at least to amber. </w:t>
      </w:r>
      <w:r>
        <w:rPr>
          <w:szCs w:val="24"/>
        </w:rPr>
        <w:t xml:space="preserve"> The cash flow position does not at this point impact on the </w:t>
      </w:r>
      <w:r w:rsidR="00903A65">
        <w:rPr>
          <w:szCs w:val="24"/>
        </w:rPr>
        <w:t>long-term</w:t>
      </w:r>
      <w:r>
        <w:rPr>
          <w:szCs w:val="24"/>
        </w:rPr>
        <w:t xml:space="preserve"> solvency of the Fund – this is addressed in the Triennial Valuation and will be reflected in the Funding Strategy Statement – the draft of which is elsewhere on the agenda for this meeting. </w:t>
      </w:r>
    </w:p>
    <w:p w14:paraId="67CD3250" w14:textId="77777777" w:rsidR="00426893" w:rsidRDefault="00426893" w:rsidP="00903A65">
      <w:pPr>
        <w:pStyle w:val="ListParagraph"/>
        <w:jc w:val="both"/>
        <w:rPr>
          <w:szCs w:val="24"/>
        </w:rPr>
      </w:pPr>
    </w:p>
    <w:p w14:paraId="670DDCD5" w14:textId="24E2ECDB" w:rsidR="000935BE" w:rsidRPr="001D79AF" w:rsidRDefault="00426893" w:rsidP="00903A65">
      <w:pPr>
        <w:numPr>
          <w:ilvl w:val="0"/>
          <w:numId w:val="16"/>
        </w:numPr>
        <w:jc w:val="both"/>
        <w:rPr>
          <w:szCs w:val="24"/>
        </w:rPr>
      </w:pPr>
      <w:r>
        <w:rPr>
          <w:szCs w:val="24"/>
        </w:rPr>
        <w:t>As previously reported, t</w:t>
      </w:r>
      <w:r w:rsidR="000935BE" w:rsidRPr="001D79AF">
        <w:rPr>
          <w:szCs w:val="24"/>
        </w:rPr>
        <w:t xml:space="preserve">hree of the four “red risks” relate to the performance of the Fund’s Investments. These, and some of those risks scored amber are linked to the impact of economic and market events which are outside of the Fund’s control. Therefore, whilst the 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w:t>
      </w:r>
      <w:r w:rsidR="000935BE" w:rsidRPr="001D79AF">
        <w:rPr>
          <w:szCs w:val="24"/>
        </w:rPr>
        <w:lastRenderedPageBreak/>
        <w:t>liabilities), ultimately the</w:t>
      </w:r>
      <w:r w:rsidR="001D79AF">
        <w:rPr>
          <w:szCs w:val="24"/>
        </w:rPr>
        <w:t>se</w:t>
      </w:r>
      <w:r w:rsidR="000935BE" w:rsidRPr="001D79AF">
        <w:rPr>
          <w:szCs w:val="24"/>
        </w:rPr>
        <w:t xml:space="preserve"> risks cannot be eliminated or managed down to a level where the impact is negligible</w:t>
      </w:r>
      <w:r w:rsidR="001D79AF">
        <w:rPr>
          <w:szCs w:val="24"/>
        </w:rPr>
        <w:t xml:space="preserve">. </w:t>
      </w:r>
      <w:r>
        <w:rPr>
          <w:szCs w:val="24"/>
        </w:rPr>
        <w:t>T</w:t>
      </w:r>
      <w:r w:rsidR="000935BE" w:rsidRPr="001D79AF">
        <w:rPr>
          <w:szCs w:val="24"/>
        </w:rPr>
        <w:t xml:space="preserve">hey </w:t>
      </w:r>
      <w:proofErr w:type="gramStart"/>
      <w:r w:rsidR="000935BE" w:rsidRPr="001D79AF">
        <w:rPr>
          <w:szCs w:val="24"/>
        </w:rPr>
        <w:t>have to</w:t>
      </w:r>
      <w:proofErr w:type="gramEnd"/>
      <w:r w:rsidR="000935BE" w:rsidRPr="001D79AF">
        <w:rPr>
          <w:szCs w:val="24"/>
        </w:rPr>
        <w:t xml:space="preserve"> be tolerated whilst continuing to apply these mitigating measures</w:t>
      </w:r>
      <w:r w:rsidR="001D79AF">
        <w:rPr>
          <w:szCs w:val="24"/>
        </w:rPr>
        <w:t xml:space="preserve"> appropriately</w:t>
      </w:r>
      <w:r w:rsidR="000935BE" w:rsidRPr="001D79AF">
        <w:rPr>
          <w:szCs w:val="24"/>
        </w:rPr>
        <w:t>.</w:t>
      </w:r>
    </w:p>
    <w:p w14:paraId="07426D04" w14:textId="77777777" w:rsidR="000935BE" w:rsidRDefault="000935BE" w:rsidP="00903A65">
      <w:pPr>
        <w:pStyle w:val="ListParagraph"/>
        <w:jc w:val="both"/>
        <w:rPr>
          <w:szCs w:val="24"/>
        </w:rPr>
      </w:pPr>
    </w:p>
    <w:p w14:paraId="79492CA3" w14:textId="7BB01B6A" w:rsidR="000935BE" w:rsidRDefault="000935BE" w:rsidP="00903A65">
      <w:pPr>
        <w:numPr>
          <w:ilvl w:val="0"/>
          <w:numId w:val="16"/>
        </w:numPr>
        <w:jc w:val="both"/>
        <w:rPr>
          <w:szCs w:val="24"/>
        </w:rPr>
      </w:pPr>
      <w:r>
        <w:rPr>
          <w:szCs w:val="24"/>
        </w:rPr>
        <w:t>The remaining red risk relates to the Regulatory impact of Court judgements,</w:t>
      </w:r>
      <w:r w:rsidR="001D79AF">
        <w:rPr>
          <w:szCs w:val="24"/>
        </w:rPr>
        <w:t xml:space="preserve"> particularly</w:t>
      </w:r>
      <w:r>
        <w:rPr>
          <w:szCs w:val="24"/>
        </w:rPr>
        <w:t xml:space="preserve"> the McCloud Judgement, which the Committee has previously been made aware of. Work to mitigate this risk by collecting additional historic data from employers</w:t>
      </w:r>
      <w:r w:rsidR="001D79AF">
        <w:rPr>
          <w:szCs w:val="24"/>
        </w:rPr>
        <w:t xml:space="preserve"> continues</w:t>
      </w:r>
      <w:r>
        <w:rPr>
          <w:szCs w:val="24"/>
        </w:rPr>
        <w:t xml:space="preserve">. </w:t>
      </w:r>
      <w:r w:rsidR="00940FCA">
        <w:rPr>
          <w:szCs w:val="24"/>
        </w:rPr>
        <w:t xml:space="preserve">At present the Government has </w:t>
      </w:r>
      <w:r w:rsidR="001D79AF">
        <w:rPr>
          <w:szCs w:val="24"/>
        </w:rPr>
        <w:t xml:space="preserve">still </w:t>
      </w:r>
      <w:r w:rsidR="00940FCA">
        <w:rPr>
          <w:szCs w:val="24"/>
        </w:rPr>
        <w:t xml:space="preserve">not provided details of how McCloud will be implemented in the LGPS, and until this happens the precise impacts cannot be quantified. </w:t>
      </w:r>
    </w:p>
    <w:p w14:paraId="663C9DA8" w14:textId="77777777" w:rsidR="00951882" w:rsidRDefault="00951882" w:rsidP="00903A65">
      <w:pPr>
        <w:pStyle w:val="Heading2"/>
        <w:jc w:val="both"/>
      </w:pPr>
      <w:r>
        <w:t>Legal Implications</w:t>
      </w:r>
    </w:p>
    <w:p w14:paraId="2647003F" w14:textId="77777777" w:rsidR="00951882" w:rsidRPr="00951882" w:rsidRDefault="00951882" w:rsidP="00903A65">
      <w:pPr>
        <w:pStyle w:val="ListParagraph"/>
        <w:jc w:val="both"/>
        <w:rPr>
          <w:b/>
          <w:bCs/>
          <w:color w:val="0000FF"/>
          <w:sz w:val="24"/>
          <w:szCs w:val="24"/>
          <w:u w:val="single"/>
        </w:rPr>
      </w:pPr>
    </w:p>
    <w:p w14:paraId="47BFCC42" w14:textId="45F5CB49" w:rsidR="00426893" w:rsidRPr="008443A8" w:rsidRDefault="00951882" w:rsidP="00903A65">
      <w:pPr>
        <w:pStyle w:val="ListParagraph"/>
        <w:numPr>
          <w:ilvl w:val="0"/>
          <w:numId w:val="16"/>
        </w:numPr>
        <w:jc w:val="both"/>
        <w:rPr>
          <w:sz w:val="24"/>
          <w:szCs w:val="24"/>
        </w:rPr>
      </w:pPr>
      <w:r w:rsidRPr="008443A8">
        <w:rPr>
          <w:sz w:val="24"/>
          <w:szCs w:val="24"/>
        </w:rPr>
        <w:t>There are no direct legal implications arising from this report.</w:t>
      </w:r>
    </w:p>
    <w:p w14:paraId="01848312" w14:textId="77777777" w:rsidR="008443A8" w:rsidRPr="008443A8" w:rsidRDefault="008443A8" w:rsidP="00903A65">
      <w:pPr>
        <w:pStyle w:val="ListParagraph"/>
        <w:jc w:val="both"/>
        <w:rPr>
          <w:sz w:val="24"/>
          <w:szCs w:val="24"/>
        </w:rPr>
      </w:pPr>
    </w:p>
    <w:p w14:paraId="73DE865E" w14:textId="2C11F3B9" w:rsidR="00426893" w:rsidRPr="008443A8" w:rsidRDefault="00426893" w:rsidP="00903A65">
      <w:pPr>
        <w:pStyle w:val="ListParagraph"/>
        <w:numPr>
          <w:ilvl w:val="0"/>
          <w:numId w:val="16"/>
        </w:numPr>
        <w:jc w:val="both"/>
        <w:rPr>
          <w:sz w:val="24"/>
          <w:szCs w:val="24"/>
        </w:rPr>
      </w:pPr>
      <w:r w:rsidRPr="008443A8">
        <w:rPr>
          <w:color w:val="262626"/>
          <w:sz w:val="24"/>
          <w:szCs w:val="24"/>
          <w:lang w:val="en-US"/>
        </w:rPr>
        <w:t>The Pension Fund Committee has the following powers and duties:</w:t>
      </w:r>
    </w:p>
    <w:p w14:paraId="3AD5C2B4" w14:textId="77777777" w:rsidR="00426893" w:rsidRPr="008443A8" w:rsidRDefault="00426893" w:rsidP="00903A65">
      <w:pPr>
        <w:shd w:val="clear" w:color="auto" w:fill="FFFFFF"/>
        <w:jc w:val="both"/>
        <w:rPr>
          <w:rFonts w:cs="Arial"/>
          <w:color w:val="262626"/>
          <w:szCs w:val="24"/>
          <w:lang w:eastAsia="en-GB"/>
        </w:rPr>
      </w:pPr>
      <w:r w:rsidRPr="008443A8">
        <w:rPr>
          <w:rFonts w:cs="Arial"/>
          <w:color w:val="262626"/>
          <w:szCs w:val="24"/>
          <w:lang w:val="en-US" w:eastAsia="en-GB"/>
        </w:rPr>
        <w:t> </w:t>
      </w:r>
    </w:p>
    <w:p w14:paraId="359B454A" w14:textId="77777777" w:rsidR="00426893"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lang w:val="en-US"/>
        </w:rPr>
        <w:t>t</w:t>
      </w:r>
      <w:r w:rsidRPr="008443A8">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8443A8">
        <w:rPr>
          <w:color w:val="262626"/>
          <w:sz w:val="24"/>
          <w:szCs w:val="24"/>
        </w:rPr>
        <w:t>Officer;</w:t>
      </w:r>
      <w:proofErr w:type="gramEnd"/>
    </w:p>
    <w:p w14:paraId="20BDEFD1" w14:textId="77777777" w:rsidR="00426893"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rPr>
        <w:t xml:space="preserve">the determination of applications under the Local Government Superannuation Regulations and the Teachers’ Superannuation </w:t>
      </w:r>
      <w:proofErr w:type="gramStart"/>
      <w:r w:rsidRPr="008443A8">
        <w:rPr>
          <w:color w:val="262626"/>
          <w:sz w:val="24"/>
          <w:szCs w:val="24"/>
        </w:rPr>
        <w:t>Regulations;</w:t>
      </w:r>
      <w:proofErr w:type="gramEnd"/>
    </w:p>
    <w:p w14:paraId="31A5E6CA" w14:textId="77777777" w:rsidR="00426893"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lang w:val="en-US"/>
        </w:rPr>
        <w:t xml:space="preserve">to administer all matters concerning the Council’s pension investments in accordance with the law and Council </w:t>
      </w:r>
      <w:proofErr w:type="gramStart"/>
      <w:r w:rsidRPr="008443A8">
        <w:rPr>
          <w:color w:val="262626"/>
          <w:sz w:val="24"/>
          <w:szCs w:val="24"/>
          <w:lang w:val="en-US"/>
        </w:rPr>
        <w:t>policy;</w:t>
      </w:r>
      <w:proofErr w:type="gramEnd"/>
    </w:p>
    <w:p w14:paraId="4493A042" w14:textId="77777777" w:rsidR="00426893"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lang w:val="en-US"/>
        </w:rPr>
        <w:t>to establish a strategy for the disposition of the pension investment portfolio; and</w:t>
      </w:r>
    </w:p>
    <w:p w14:paraId="6E77EBC0" w14:textId="77777777" w:rsidR="00426893"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lang w:val="en-US"/>
        </w:rPr>
        <w:t xml:space="preserve">to appoint and determine the investment managers’ delegation of powers of management of the </w:t>
      </w:r>
      <w:proofErr w:type="gramStart"/>
      <w:r w:rsidRPr="008443A8">
        <w:rPr>
          <w:color w:val="262626"/>
          <w:sz w:val="24"/>
          <w:szCs w:val="24"/>
          <w:lang w:val="en-US"/>
        </w:rPr>
        <w:t>fund;</w:t>
      </w:r>
      <w:proofErr w:type="gramEnd"/>
    </w:p>
    <w:p w14:paraId="0D682ADD" w14:textId="77777777" w:rsidR="008443A8" w:rsidRPr="008443A8"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8443A8">
        <w:rPr>
          <w:color w:val="262626"/>
          <w:sz w:val="24"/>
          <w:szCs w:val="24"/>
        </w:rPr>
        <w:t>Officers;</w:t>
      </w:r>
      <w:proofErr w:type="gramEnd"/>
    </w:p>
    <w:p w14:paraId="5530FE8D" w14:textId="07F67A21" w:rsidR="00426893" w:rsidRDefault="00426893" w:rsidP="00903A65">
      <w:pPr>
        <w:pStyle w:val="ListParagraph"/>
        <w:numPr>
          <w:ilvl w:val="0"/>
          <w:numId w:val="20"/>
        </w:numPr>
        <w:shd w:val="clear" w:color="auto" w:fill="FFFFFF"/>
        <w:spacing w:after="240"/>
        <w:ind w:left="941" w:hanging="357"/>
        <w:jc w:val="both"/>
        <w:rPr>
          <w:color w:val="262626"/>
          <w:sz w:val="24"/>
          <w:szCs w:val="24"/>
        </w:rPr>
      </w:pPr>
      <w:r w:rsidRPr="008443A8">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r w:rsidR="008443A8">
        <w:rPr>
          <w:color w:val="262626"/>
          <w:sz w:val="24"/>
          <w:szCs w:val="24"/>
        </w:rPr>
        <w:t>.</w:t>
      </w:r>
    </w:p>
    <w:p w14:paraId="15B7FD29" w14:textId="2441DD03" w:rsidR="008443A8" w:rsidRDefault="008443A8" w:rsidP="00903A65">
      <w:pPr>
        <w:pStyle w:val="ListParagraph"/>
        <w:shd w:val="clear" w:color="auto" w:fill="FFFFFF"/>
        <w:spacing w:after="240"/>
        <w:ind w:left="944"/>
        <w:jc w:val="both"/>
        <w:rPr>
          <w:color w:val="262626"/>
          <w:sz w:val="24"/>
          <w:szCs w:val="24"/>
        </w:rPr>
      </w:pPr>
    </w:p>
    <w:p w14:paraId="680802BB" w14:textId="236A89DE" w:rsidR="00951882" w:rsidRDefault="00951882" w:rsidP="00903A65">
      <w:pPr>
        <w:pStyle w:val="Heading2"/>
        <w:spacing w:after="240"/>
        <w:jc w:val="both"/>
      </w:pPr>
      <w:r>
        <w:t>Financial Implications</w:t>
      </w:r>
    </w:p>
    <w:p w14:paraId="6B7B2A2B" w14:textId="3D7406D6" w:rsidR="00951882" w:rsidRDefault="00951882" w:rsidP="00903A65">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03A65">
      <w:pPr>
        <w:pStyle w:val="Heading2"/>
        <w:spacing w:after="240"/>
        <w:jc w:val="both"/>
      </w:pPr>
      <w:r>
        <w:t>Risk Management Implications</w:t>
      </w:r>
    </w:p>
    <w:p w14:paraId="2703A98F" w14:textId="1EB7EC36" w:rsidR="00951882" w:rsidRPr="00951882" w:rsidRDefault="00951882" w:rsidP="00903A65">
      <w:pPr>
        <w:numPr>
          <w:ilvl w:val="0"/>
          <w:numId w:val="16"/>
        </w:numPr>
        <w:jc w:val="both"/>
      </w:pPr>
      <w:r w:rsidRPr="00951882">
        <w:rPr>
          <w:rFonts w:cs="Arial"/>
        </w:rPr>
        <w:t xml:space="preserve">Risk Management is the subject of this report – one of the key governance requirements for the Pension Fund is the appropriate management of </w:t>
      </w:r>
      <w:r w:rsidR="009C5D1A" w:rsidRPr="00951882">
        <w:rPr>
          <w:rFonts w:cs="Arial"/>
        </w:rPr>
        <w:t>risk and</w:t>
      </w:r>
      <w:r w:rsidRPr="00951882">
        <w:rPr>
          <w:rFonts w:cs="Arial"/>
        </w:rPr>
        <w:t xml:space="preserve"> </w:t>
      </w:r>
      <w:r>
        <w:rPr>
          <w:rFonts w:cs="Arial"/>
        </w:rPr>
        <w:t xml:space="preserve">maintaining a separate </w:t>
      </w:r>
      <w:r w:rsidRPr="00951882">
        <w:rPr>
          <w:rFonts w:cs="Arial"/>
        </w:rPr>
        <w:t xml:space="preserve">a risk register helps to regulate that process effectively. </w:t>
      </w:r>
    </w:p>
    <w:p w14:paraId="5D80021B" w14:textId="77777777" w:rsidR="00951882" w:rsidRDefault="00951882" w:rsidP="00903A65">
      <w:pPr>
        <w:pStyle w:val="Heading2"/>
        <w:keepNext/>
        <w:spacing w:after="240"/>
        <w:jc w:val="both"/>
      </w:pPr>
      <w:r w:rsidRPr="004A2543">
        <w:t>Equalities implications</w:t>
      </w:r>
      <w:r>
        <w:t xml:space="preserve"> / Public Sector Equality Duty </w:t>
      </w:r>
    </w:p>
    <w:p w14:paraId="54FA4FDE" w14:textId="302AE9EB" w:rsidR="00951882" w:rsidRDefault="00951882" w:rsidP="00903A65">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03A65">
      <w:pPr>
        <w:ind w:left="720"/>
        <w:jc w:val="both"/>
      </w:pPr>
    </w:p>
    <w:p w14:paraId="6D7F49C3" w14:textId="6E8C9231" w:rsidR="00951882" w:rsidRDefault="00951882" w:rsidP="00903A65">
      <w:pPr>
        <w:numPr>
          <w:ilvl w:val="0"/>
          <w:numId w:val="16"/>
        </w:numPr>
        <w:jc w:val="both"/>
      </w:pPr>
      <w:r>
        <w:t xml:space="preserve">There are no direct equalities implications arising from this report. </w:t>
      </w:r>
    </w:p>
    <w:p w14:paraId="11BF41CC" w14:textId="77777777" w:rsidR="002A2389" w:rsidRDefault="002A2389" w:rsidP="00903A65">
      <w:pPr>
        <w:pStyle w:val="Heading2"/>
        <w:jc w:val="both"/>
      </w:pPr>
      <w:r>
        <w:t>Section 3 - Statutory Officer Clearance</w:t>
      </w:r>
    </w:p>
    <w:p w14:paraId="077143F8" w14:textId="77777777" w:rsidR="002A2389" w:rsidRDefault="002A2389" w:rsidP="00903A65">
      <w:pPr>
        <w:keepNext/>
        <w:jc w:val="both"/>
        <w:rPr>
          <w:rFonts w:cs="Arial"/>
        </w:rPr>
      </w:pPr>
    </w:p>
    <w:p w14:paraId="1F493ADE" w14:textId="664DF2DB" w:rsidR="00912904" w:rsidRPr="00903A65" w:rsidRDefault="00912904" w:rsidP="00903A65">
      <w:pPr>
        <w:jc w:val="both"/>
        <w:rPr>
          <w:szCs w:val="24"/>
        </w:rPr>
      </w:pPr>
      <w:r w:rsidRPr="00903A65">
        <w:rPr>
          <w:b/>
          <w:szCs w:val="24"/>
        </w:rPr>
        <w:t xml:space="preserve">Statutory Officer: </w:t>
      </w:r>
      <w:r w:rsidR="003326AA" w:rsidRPr="00903A65">
        <w:rPr>
          <w:b/>
          <w:szCs w:val="24"/>
        </w:rPr>
        <w:t>Dawn Calvert</w:t>
      </w:r>
    </w:p>
    <w:p w14:paraId="57640BD9" w14:textId="55B8F160" w:rsidR="00912904" w:rsidRPr="00903A65" w:rsidRDefault="00912904" w:rsidP="00903A65">
      <w:pPr>
        <w:jc w:val="both"/>
        <w:rPr>
          <w:szCs w:val="24"/>
        </w:rPr>
      </w:pPr>
      <w:r w:rsidRPr="00903A65">
        <w:rPr>
          <w:szCs w:val="24"/>
        </w:rPr>
        <w:t>Signed by the Chief Financial Officer</w:t>
      </w:r>
    </w:p>
    <w:p w14:paraId="5745A2E3" w14:textId="6B3987DE" w:rsidR="00912904" w:rsidRPr="00903A65" w:rsidRDefault="00912904" w:rsidP="00903A65">
      <w:pPr>
        <w:tabs>
          <w:tab w:val="left" w:pos="1806"/>
        </w:tabs>
        <w:spacing w:after="480"/>
        <w:jc w:val="both"/>
        <w:rPr>
          <w:szCs w:val="24"/>
        </w:rPr>
      </w:pPr>
      <w:r w:rsidRPr="00903A65">
        <w:rPr>
          <w:b/>
          <w:szCs w:val="24"/>
        </w:rPr>
        <w:t xml:space="preserve">Date:  </w:t>
      </w:r>
      <w:r w:rsidR="003326AA" w:rsidRPr="00903A65">
        <w:rPr>
          <w:b/>
          <w:szCs w:val="24"/>
        </w:rPr>
        <w:t>10/11/2022</w:t>
      </w:r>
    </w:p>
    <w:p w14:paraId="2586CC50" w14:textId="58E05AE1" w:rsidR="00912904" w:rsidRPr="00903A65" w:rsidRDefault="00912904" w:rsidP="00903A65">
      <w:pPr>
        <w:jc w:val="both"/>
        <w:rPr>
          <w:szCs w:val="24"/>
        </w:rPr>
      </w:pPr>
      <w:r w:rsidRPr="00903A65">
        <w:rPr>
          <w:b/>
          <w:szCs w:val="24"/>
        </w:rPr>
        <w:t xml:space="preserve">Statutory Officer:  </w:t>
      </w:r>
      <w:r w:rsidR="008B4828" w:rsidRPr="00903A65">
        <w:rPr>
          <w:b/>
          <w:szCs w:val="24"/>
        </w:rPr>
        <w:t>Sharon Clarke</w:t>
      </w:r>
    </w:p>
    <w:p w14:paraId="52AD6B43" w14:textId="3ED44EF1" w:rsidR="00912904" w:rsidRPr="00903A65" w:rsidRDefault="00912904" w:rsidP="00903A65">
      <w:pPr>
        <w:jc w:val="both"/>
        <w:rPr>
          <w:szCs w:val="24"/>
        </w:rPr>
      </w:pPr>
      <w:r w:rsidRPr="00903A65">
        <w:rPr>
          <w:szCs w:val="24"/>
        </w:rPr>
        <w:t>Signed on behalf of the Monitoring Officer</w:t>
      </w:r>
    </w:p>
    <w:p w14:paraId="61F8C7E6" w14:textId="6A9D100D" w:rsidR="00912904" w:rsidRPr="00903A65" w:rsidRDefault="00912904" w:rsidP="00903A65">
      <w:pPr>
        <w:spacing w:after="480"/>
        <w:jc w:val="both"/>
        <w:rPr>
          <w:szCs w:val="24"/>
        </w:rPr>
      </w:pPr>
      <w:r w:rsidRPr="00903A65">
        <w:rPr>
          <w:b/>
          <w:szCs w:val="24"/>
        </w:rPr>
        <w:t xml:space="preserve">Date:  </w:t>
      </w:r>
      <w:r w:rsidR="008B4828" w:rsidRPr="00903A65">
        <w:rPr>
          <w:b/>
          <w:szCs w:val="24"/>
        </w:rPr>
        <w:t>09/11/2022</w:t>
      </w:r>
    </w:p>
    <w:p w14:paraId="2019A53D" w14:textId="500A72F9" w:rsidR="00912904" w:rsidRPr="00903A65" w:rsidRDefault="004A4A1D" w:rsidP="00903A65">
      <w:pPr>
        <w:jc w:val="both"/>
        <w:rPr>
          <w:szCs w:val="24"/>
        </w:rPr>
      </w:pPr>
      <w:r w:rsidRPr="00903A65">
        <w:rPr>
          <w:b/>
          <w:szCs w:val="24"/>
        </w:rPr>
        <w:t>Chief</w:t>
      </w:r>
      <w:r w:rsidR="00912904" w:rsidRPr="00903A65">
        <w:rPr>
          <w:b/>
          <w:szCs w:val="24"/>
        </w:rPr>
        <w:t xml:space="preserve"> Officer:  </w:t>
      </w:r>
      <w:r w:rsidR="003326AA" w:rsidRPr="00903A65">
        <w:rPr>
          <w:b/>
          <w:szCs w:val="24"/>
        </w:rPr>
        <w:t>Dawn Calvert</w:t>
      </w:r>
    </w:p>
    <w:p w14:paraId="6F36B845" w14:textId="53F3A1DD" w:rsidR="00912904" w:rsidRPr="00903A65" w:rsidRDefault="00365D29" w:rsidP="00903A65">
      <w:pPr>
        <w:jc w:val="both"/>
        <w:rPr>
          <w:szCs w:val="24"/>
        </w:rPr>
      </w:pPr>
      <w:r w:rsidRPr="00903A65">
        <w:rPr>
          <w:szCs w:val="24"/>
        </w:rPr>
        <w:t>Signed</w:t>
      </w:r>
      <w:r w:rsidR="00912904" w:rsidRPr="00903A65">
        <w:rPr>
          <w:szCs w:val="24"/>
        </w:rPr>
        <w:t xml:space="preserve"> </w:t>
      </w:r>
      <w:r w:rsidR="008443A8" w:rsidRPr="00903A65">
        <w:rPr>
          <w:szCs w:val="24"/>
        </w:rPr>
        <w:t>on behalf of the Chief Executive</w:t>
      </w:r>
    </w:p>
    <w:p w14:paraId="21482980" w14:textId="1443FBF7" w:rsidR="00912904" w:rsidRPr="00903A65" w:rsidRDefault="00912904" w:rsidP="00903A65">
      <w:pPr>
        <w:spacing w:after="480"/>
        <w:jc w:val="both"/>
        <w:rPr>
          <w:szCs w:val="24"/>
        </w:rPr>
      </w:pPr>
      <w:r w:rsidRPr="00903A65">
        <w:rPr>
          <w:b/>
          <w:szCs w:val="24"/>
        </w:rPr>
        <w:t xml:space="preserve">Date: </w:t>
      </w:r>
      <w:r w:rsidR="003326AA" w:rsidRPr="00903A65">
        <w:rPr>
          <w:b/>
          <w:szCs w:val="24"/>
        </w:rPr>
        <w:t>10/11/2022</w:t>
      </w:r>
    </w:p>
    <w:p w14:paraId="686CE5D8" w14:textId="77777777" w:rsidR="00912904" w:rsidRPr="00435B5D" w:rsidRDefault="00912904" w:rsidP="00903A65">
      <w:pPr>
        <w:pStyle w:val="Heading2"/>
        <w:spacing w:after="240"/>
        <w:jc w:val="both"/>
      </w:pPr>
      <w:r>
        <w:t>Mandatory Checks</w:t>
      </w:r>
    </w:p>
    <w:p w14:paraId="71FBC41D" w14:textId="64EC4BE6" w:rsidR="00912904" w:rsidRPr="00F679DA" w:rsidRDefault="00912904" w:rsidP="00903A65">
      <w:pPr>
        <w:pStyle w:val="Heading3"/>
        <w:ind w:left="0" w:firstLine="0"/>
        <w:rPr>
          <w:iCs/>
          <w:color w:val="FF0000"/>
          <w:szCs w:val="24"/>
        </w:rPr>
      </w:pPr>
      <w:r w:rsidRPr="00E90AFF">
        <w:rPr>
          <w:sz w:val="28"/>
        </w:rPr>
        <w:t xml:space="preserve">Ward Councillors notified:  </w:t>
      </w:r>
      <w:r w:rsidRPr="00903A65">
        <w:rPr>
          <w:szCs w:val="24"/>
        </w:rPr>
        <w:t>N</w:t>
      </w:r>
      <w:r w:rsidR="00903A65" w:rsidRPr="00903A65">
        <w:rPr>
          <w:szCs w:val="24"/>
        </w:rPr>
        <w:t>ot Applicable</w:t>
      </w:r>
    </w:p>
    <w:p w14:paraId="052D80D5" w14:textId="77777777" w:rsidR="009C5D1A" w:rsidRDefault="009C5D1A" w:rsidP="00903A65">
      <w:pPr>
        <w:pStyle w:val="Heading2"/>
        <w:keepNext/>
        <w:spacing w:after="240"/>
        <w:jc w:val="both"/>
      </w:pPr>
    </w:p>
    <w:p w14:paraId="629F8205" w14:textId="10ED9302" w:rsidR="002A2389" w:rsidRDefault="002A2389" w:rsidP="00903A65">
      <w:pPr>
        <w:pStyle w:val="Heading2"/>
        <w:keepNext/>
        <w:spacing w:after="240"/>
        <w:jc w:val="both"/>
      </w:pPr>
      <w:r>
        <w:t>Section 4 - Contact Details and Background Papers</w:t>
      </w:r>
    </w:p>
    <w:p w14:paraId="43BCE63E" w14:textId="77777777" w:rsidR="0096533B" w:rsidRDefault="002A2389" w:rsidP="00903A65">
      <w:pPr>
        <w:pStyle w:val="Infotext"/>
        <w:jc w:val="both"/>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03A65">
      <w:pPr>
        <w:pStyle w:val="Infotext"/>
        <w:jc w:val="both"/>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03A65">
      <w:pPr>
        <w:pStyle w:val="Infotext"/>
        <w:jc w:val="both"/>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03A65">
      <w:pPr>
        <w:pStyle w:val="Infotext"/>
        <w:spacing w:before="360"/>
        <w:jc w:val="both"/>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4"/>
  </w:num>
  <w:num w:numId="10">
    <w:abstractNumId w:val="16"/>
  </w:num>
  <w:num w:numId="11">
    <w:abstractNumId w:val="19"/>
  </w:num>
  <w:num w:numId="12">
    <w:abstractNumId w:val="15"/>
  </w:num>
  <w:num w:numId="13">
    <w:abstractNumId w:val="3"/>
  </w:num>
  <w:num w:numId="14">
    <w:abstractNumId w:val="7"/>
  </w:num>
  <w:num w:numId="15">
    <w:abstractNumId w:val="13"/>
  </w:num>
  <w:num w:numId="16">
    <w:abstractNumId w:val="11"/>
  </w:num>
  <w:num w:numId="17">
    <w:abstractNumId w:val="8"/>
  </w:num>
  <w:num w:numId="18">
    <w:abstractNumId w:val="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939BA"/>
    <w:rsid w:val="001A6EB0"/>
    <w:rsid w:val="001B441D"/>
    <w:rsid w:val="001C5225"/>
    <w:rsid w:val="001D79AF"/>
    <w:rsid w:val="001E0219"/>
    <w:rsid w:val="00213BE7"/>
    <w:rsid w:val="00231A1D"/>
    <w:rsid w:val="00244120"/>
    <w:rsid w:val="00271E70"/>
    <w:rsid w:val="0029071B"/>
    <w:rsid w:val="00293F9F"/>
    <w:rsid w:val="002A2389"/>
    <w:rsid w:val="002C08E2"/>
    <w:rsid w:val="002C1794"/>
    <w:rsid w:val="002D2FC5"/>
    <w:rsid w:val="002E6637"/>
    <w:rsid w:val="002E77E3"/>
    <w:rsid w:val="003326AA"/>
    <w:rsid w:val="00332947"/>
    <w:rsid w:val="00333EB4"/>
    <w:rsid w:val="00345915"/>
    <w:rsid w:val="00365D29"/>
    <w:rsid w:val="00374F22"/>
    <w:rsid w:val="003A5141"/>
    <w:rsid w:val="003D2FFE"/>
    <w:rsid w:val="003D5F0A"/>
    <w:rsid w:val="00400032"/>
    <w:rsid w:val="0042394B"/>
    <w:rsid w:val="00426893"/>
    <w:rsid w:val="00473B08"/>
    <w:rsid w:val="00474B5F"/>
    <w:rsid w:val="004A3CE6"/>
    <w:rsid w:val="004A4A1D"/>
    <w:rsid w:val="004B2C9D"/>
    <w:rsid w:val="004B4A47"/>
    <w:rsid w:val="004E667D"/>
    <w:rsid w:val="004E6AF9"/>
    <w:rsid w:val="005031DF"/>
    <w:rsid w:val="00597314"/>
    <w:rsid w:val="005A61AF"/>
    <w:rsid w:val="005D0886"/>
    <w:rsid w:val="005D496C"/>
    <w:rsid w:val="005E384D"/>
    <w:rsid w:val="005F2181"/>
    <w:rsid w:val="005F724B"/>
    <w:rsid w:val="00606705"/>
    <w:rsid w:val="00625DFF"/>
    <w:rsid w:val="0063072B"/>
    <w:rsid w:val="00662891"/>
    <w:rsid w:val="006628B7"/>
    <w:rsid w:val="00675FCB"/>
    <w:rsid w:val="006A0B87"/>
    <w:rsid w:val="006B3942"/>
    <w:rsid w:val="006C3914"/>
    <w:rsid w:val="006C4D4C"/>
    <w:rsid w:val="006D3648"/>
    <w:rsid w:val="006E32E1"/>
    <w:rsid w:val="00717E8A"/>
    <w:rsid w:val="0074184E"/>
    <w:rsid w:val="00743829"/>
    <w:rsid w:val="0075300F"/>
    <w:rsid w:val="00755F8D"/>
    <w:rsid w:val="007855AE"/>
    <w:rsid w:val="00796503"/>
    <w:rsid w:val="007B0CB6"/>
    <w:rsid w:val="007D2BDA"/>
    <w:rsid w:val="007D56C8"/>
    <w:rsid w:val="007E3934"/>
    <w:rsid w:val="007E7303"/>
    <w:rsid w:val="00800AB1"/>
    <w:rsid w:val="008212A0"/>
    <w:rsid w:val="00830385"/>
    <w:rsid w:val="00837F53"/>
    <w:rsid w:val="008443A8"/>
    <w:rsid w:val="00855586"/>
    <w:rsid w:val="00862DDC"/>
    <w:rsid w:val="008B4828"/>
    <w:rsid w:val="008D1750"/>
    <w:rsid w:val="008D7800"/>
    <w:rsid w:val="008E2910"/>
    <w:rsid w:val="008E4913"/>
    <w:rsid w:val="00900464"/>
    <w:rsid w:val="0090100E"/>
    <w:rsid w:val="00903A65"/>
    <w:rsid w:val="00912904"/>
    <w:rsid w:val="0093767E"/>
    <w:rsid w:val="00940FCA"/>
    <w:rsid w:val="00951882"/>
    <w:rsid w:val="0096533B"/>
    <w:rsid w:val="00972A02"/>
    <w:rsid w:val="0099517C"/>
    <w:rsid w:val="009A0937"/>
    <w:rsid w:val="009B2ECD"/>
    <w:rsid w:val="009B7914"/>
    <w:rsid w:val="009C5D1A"/>
    <w:rsid w:val="009F430B"/>
    <w:rsid w:val="00A160B2"/>
    <w:rsid w:val="00A16271"/>
    <w:rsid w:val="00A566E7"/>
    <w:rsid w:val="00A630BF"/>
    <w:rsid w:val="00A73B25"/>
    <w:rsid w:val="00A940D3"/>
    <w:rsid w:val="00A96FCA"/>
    <w:rsid w:val="00AA4BE8"/>
    <w:rsid w:val="00AC0AAB"/>
    <w:rsid w:val="00AC7BA9"/>
    <w:rsid w:val="00B0425E"/>
    <w:rsid w:val="00B3133D"/>
    <w:rsid w:val="00B84A87"/>
    <w:rsid w:val="00B900E2"/>
    <w:rsid w:val="00B9118E"/>
    <w:rsid w:val="00BD6115"/>
    <w:rsid w:val="00BD684A"/>
    <w:rsid w:val="00C32DAE"/>
    <w:rsid w:val="00C40E24"/>
    <w:rsid w:val="00C428F2"/>
    <w:rsid w:val="00C61B80"/>
    <w:rsid w:val="00C92D9A"/>
    <w:rsid w:val="00C96EF5"/>
    <w:rsid w:val="00D25064"/>
    <w:rsid w:val="00D32B51"/>
    <w:rsid w:val="00D34668"/>
    <w:rsid w:val="00D364C4"/>
    <w:rsid w:val="00D3740E"/>
    <w:rsid w:val="00D40335"/>
    <w:rsid w:val="00D7696B"/>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C70CD"/>
    <w:rsid w:val="00EF2F91"/>
    <w:rsid w:val="00F33EE3"/>
    <w:rsid w:val="00F4053A"/>
    <w:rsid w:val="00F4213B"/>
    <w:rsid w:val="00F679DA"/>
    <w:rsid w:val="00F806B8"/>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1176</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13</cp:revision>
  <cp:lastPrinted>2007-07-12T09:53:00Z</cp:lastPrinted>
  <dcterms:created xsi:type="dcterms:W3CDTF">2022-02-22T14:41:00Z</dcterms:created>
  <dcterms:modified xsi:type="dcterms:W3CDTF">2022-11-15T16:00:00Z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