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Pr="00201441" w:rsidRDefault="00C869F3" w:rsidP="00C869F3">
      <w:pPr>
        <w:spacing w:after="480"/>
      </w:pPr>
      <w:r w:rsidRPr="00201441">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0"/>
        <w:gridCol w:w="4919"/>
      </w:tblGrid>
      <w:tr w:rsidR="00201441" w:rsidRPr="00201441" w14:paraId="322EF0DF" w14:textId="77777777" w:rsidTr="00201441">
        <w:tc>
          <w:tcPr>
            <w:tcW w:w="3456" w:type="dxa"/>
            <w:tcBorders>
              <w:bottom w:val="single" w:sz="18" w:space="0" w:color="auto"/>
            </w:tcBorders>
          </w:tcPr>
          <w:p w14:paraId="10F9A427" w14:textId="77777777" w:rsidR="00333FAA" w:rsidRPr="00201441" w:rsidRDefault="005811F8" w:rsidP="00F06E4E">
            <w:pPr>
              <w:pStyle w:val="Heading1"/>
              <w:spacing w:after="240"/>
              <w:outlineLvl w:val="0"/>
            </w:pPr>
            <w:r w:rsidRPr="00201441">
              <w:t>Report for</w:t>
            </w:r>
            <w:r w:rsidR="00333FAA" w:rsidRPr="00201441">
              <w:t>:</w:t>
            </w:r>
          </w:p>
        </w:tc>
        <w:tc>
          <w:tcPr>
            <w:tcW w:w="5054" w:type="dxa"/>
            <w:tcBorders>
              <w:bottom w:val="single" w:sz="18" w:space="0" w:color="auto"/>
            </w:tcBorders>
          </w:tcPr>
          <w:p w14:paraId="541B30E0" w14:textId="77777777" w:rsidR="00333FAA" w:rsidRPr="00201441" w:rsidRDefault="005811F8" w:rsidP="00F06E4E">
            <w:pPr>
              <w:pStyle w:val="Heading1"/>
              <w:outlineLvl w:val="0"/>
              <w:rPr>
                <w:szCs w:val="24"/>
              </w:rPr>
            </w:pPr>
            <w:r w:rsidRPr="00201441">
              <w:t>Cabinet</w:t>
            </w:r>
          </w:p>
        </w:tc>
      </w:tr>
      <w:tr w:rsidR="00201441" w:rsidRPr="00201441" w14:paraId="67D60646" w14:textId="77777777" w:rsidTr="00EB3CF0">
        <w:tc>
          <w:tcPr>
            <w:tcW w:w="3456" w:type="dxa"/>
            <w:tcBorders>
              <w:top w:val="single" w:sz="18" w:space="0" w:color="auto"/>
            </w:tcBorders>
          </w:tcPr>
          <w:p w14:paraId="4DDB5947" w14:textId="77777777" w:rsidR="00333FAA" w:rsidRPr="00201441" w:rsidRDefault="00333FAA" w:rsidP="00C869F3">
            <w:pPr>
              <w:pStyle w:val="Infotext"/>
              <w:spacing w:after="240"/>
              <w:rPr>
                <w:rFonts w:ascii="Arial Black" w:hAnsi="Arial Black" w:cs="Arial"/>
              </w:rPr>
            </w:pPr>
            <w:r w:rsidRPr="00201441">
              <w:rPr>
                <w:rFonts w:ascii="Arial Black" w:hAnsi="Arial Black"/>
              </w:rPr>
              <w:t>Date of Meeting:</w:t>
            </w:r>
          </w:p>
        </w:tc>
        <w:tc>
          <w:tcPr>
            <w:tcW w:w="5054" w:type="dxa"/>
            <w:tcBorders>
              <w:top w:val="single" w:sz="18" w:space="0" w:color="auto"/>
            </w:tcBorders>
          </w:tcPr>
          <w:p w14:paraId="72FCD075" w14:textId="6C154F2A" w:rsidR="00333FAA" w:rsidRPr="00201441" w:rsidRDefault="00ED3786" w:rsidP="00201441">
            <w:pPr>
              <w:spacing w:before="40"/>
              <w:rPr>
                <w:rFonts w:cs="Arial"/>
                <w:szCs w:val="24"/>
              </w:rPr>
            </w:pPr>
            <w:r w:rsidRPr="00201441">
              <w:rPr>
                <w:rFonts w:cs="Arial"/>
                <w:szCs w:val="24"/>
              </w:rPr>
              <w:t>23</w:t>
            </w:r>
            <w:r w:rsidRPr="00201441">
              <w:rPr>
                <w:rFonts w:cs="Arial"/>
                <w:szCs w:val="24"/>
                <w:vertAlign w:val="superscript"/>
              </w:rPr>
              <w:t>rd</w:t>
            </w:r>
            <w:r w:rsidRPr="00201441">
              <w:rPr>
                <w:rFonts w:cs="Arial"/>
                <w:szCs w:val="24"/>
              </w:rPr>
              <w:t xml:space="preserve"> </w:t>
            </w:r>
            <w:r w:rsidR="009F7C2F" w:rsidRPr="00201441">
              <w:rPr>
                <w:rFonts w:cs="Arial"/>
                <w:szCs w:val="24"/>
              </w:rPr>
              <w:t>September 2021</w:t>
            </w:r>
          </w:p>
        </w:tc>
      </w:tr>
      <w:tr w:rsidR="00201441" w:rsidRPr="00201441" w14:paraId="3CC97725" w14:textId="77777777" w:rsidTr="00EB3CF0">
        <w:tc>
          <w:tcPr>
            <w:tcW w:w="3456" w:type="dxa"/>
          </w:tcPr>
          <w:p w14:paraId="18BB8951" w14:textId="77777777" w:rsidR="00333FAA" w:rsidRPr="00201441" w:rsidRDefault="00333FAA" w:rsidP="00C869F3">
            <w:pPr>
              <w:pStyle w:val="Infotext"/>
              <w:spacing w:after="240"/>
              <w:rPr>
                <w:rFonts w:ascii="Arial Black" w:hAnsi="Arial Black"/>
              </w:rPr>
            </w:pPr>
            <w:r w:rsidRPr="00201441">
              <w:rPr>
                <w:rFonts w:ascii="Arial Black" w:hAnsi="Arial Black" w:cs="Arial"/>
              </w:rPr>
              <w:t>Subject:</w:t>
            </w:r>
          </w:p>
        </w:tc>
        <w:tc>
          <w:tcPr>
            <w:tcW w:w="5054" w:type="dxa"/>
          </w:tcPr>
          <w:p w14:paraId="5CEF3922" w14:textId="77777777" w:rsidR="00333FAA" w:rsidRDefault="000A6B6E" w:rsidP="00201441">
            <w:pPr>
              <w:spacing w:before="40"/>
              <w:rPr>
                <w:rFonts w:cs="Arial"/>
                <w:szCs w:val="24"/>
              </w:rPr>
            </w:pPr>
            <w:r>
              <w:rPr>
                <w:rFonts w:cs="Arial"/>
                <w:szCs w:val="24"/>
              </w:rPr>
              <w:t>Addition</w:t>
            </w:r>
            <w:r w:rsidR="00953855" w:rsidRPr="00201441">
              <w:rPr>
                <w:rFonts w:cs="Arial"/>
                <w:szCs w:val="24"/>
              </w:rPr>
              <w:t xml:space="preserve"> of fifteen parks and gardens to the Local List of Historic Parks and Gardens – approval to adopt</w:t>
            </w:r>
          </w:p>
          <w:p w14:paraId="6D8FB2C1" w14:textId="5EB83C54" w:rsidR="000A6B6E" w:rsidRPr="00201441" w:rsidRDefault="000A6B6E" w:rsidP="00201441">
            <w:pPr>
              <w:spacing w:before="40"/>
              <w:rPr>
                <w:rFonts w:cs="Arial"/>
                <w:szCs w:val="24"/>
              </w:rPr>
            </w:pPr>
          </w:p>
        </w:tc>
      </w:tr>
      <w:tr w:rsidR="00201441" w:rsidRPr="00201441" w14:paraId="32449166" w14:textId="77777777" w:rsidTr="00EB3CF0">
        <w:tc>
          <w:tcPr>
            <w:tcW w:w="3456" w:type="dxa"/>
          </w:tcPr>
          <w:p w14:paraId="17ECA8FA" w14:textId="77777777" w:rsidR="00333FAA" w:rsidRPr="00201441" w:rsidRDefault="00333FAA" w:rsidP="00C869F3">
            <w:pPr>
              <w:pStyle w:val="Infotext"/>
              <w:spacing w:after="240"/>
              <w:rPr>
                <w:rFonts w:ascii="Arial Black" w:hAnsi="Arial Black" w:cs="Arial"/>
              </w:rPr>
            </w:pPr>
            <w:r w:rsidRPr="00201441">
              <w:rPr>
                <w:rFonts w:ascii="Arial Black" w:hAnsi="Arial Black" w:cs="Arial"/>
              </w:rPr>
              <w:t>Key Decision:</w:t>
            </w:r>
          </w:p>
        </w:tc>
        <w:tc>
          <w:tcPr>
            <w:tcW w:w="5054" w:type="dxa"/>
          </w:tcPr>
          <w:p w14:paraId="3EADF2B3" w14:textId="18C9267A" w:rsidR="00333FAA" w:rsidRPr="00201441" w:rsidRDefault="00953855" w:rsidP="00201441">
            <w:pPr>
              <w:spacing w:before="40"/>
              <w:rPr>
                <w:rFonts w:cs="Arial"/>
                <w:szCs w:val="24"/>
              </w:rPr>
            </w:pPr>
            <w:r w:rsidRPr="00201441">
              <w:rPr>
                <w:rFonts w:cs="Arial"/>
                <w:szCs w:val="24"/>
              </w:rPr>
              <w:t xml:space="preserve">Yes – affects more than </w:t>
            </w:r>
            <w:r w:rsidR="00BB37F6">
              <w:rPr>
                <w:rFonts w:cs="Arial"/>
                <w:szCs w:val="24"/>
              </w:rPr>
              <w:t>two wards</w:t>
            </w:r>
            <w:r w:rsidRPr="00201441">
              <w:rPr>
                <w:rFonts w:cs="Arial"/>
                <w:szCs w:val="24"/>
              </w:rPr>
              <w:t xml:space="preserve"> </w:t>
            </w:r>
          </w:p>
        </w:tc>
      </w:tr>
      <w:tr w:rsidR="00201441" w:rsidRPr="00201441" w14:paraId="79E96200" w14:textId="77777777" w:rsidTr="00EB3CF0">
        <w:tc>
          <w:tcPr>
            <w:tcW w:w="3456" w:type="dxa"/>
          </w:tcPr>
          <w:p w14:paraId="0B8ABDC4" w14:textId="77777777" w:rsidR="001C7E35" w:rsidRPr="00201441" w:rsidRDefault="001C7E35" w:rsidP="00C869F3">
            <w:pPr>
              <w:pStyle w:val="Infotext"/>
              <w:spacing w:after="240"/>
              <w:rPr>
                <w:rFonts w:ascii="Arial Black" w:hAnsi="Arial Black" w:cs="Arial"/>
              </w:rPr>
            </w:pPr>
            <w:r w:rsidRPr="00201441">
              <w:rPr>
                <w:rFonts w:ascii="Arial Black" w:hAnsi="Arial Black" w:cs="Arial"/>
              </w:rPr>
              <w:t>Responsible Officer:</w:t>
            </w:r>
          </w:p>
        </w:tc>
        <w:tc>
          <w:tcPr>
            <w:tcW w:w="5054" w:type="dxa"/>
          </w:tcPr>
          <w:p w14:paraId="3798BF23" w14:textId="368B9450" w:rsidR="001C7E35" w:rsidRPr="00201441" w:rsidRDefault="00953855" w:rsidP="00201441">
            <w:pPr>
              <w:pStyle w:val="Infotext"/>
              <w:spacing w:before="40"/>
              <w:rPr>
                <w:rFonts w:cs="Arial"/>
                <w:sz w:val="24"/>
                <w:szCs w:val="24"/>
              </w:rPr>
            </w:pPr>
            <w:r w:rsidRPr="00201441">
              <w:rPr>
                <w:rFonts w:cs="Arial"/>
                <w:sz w:val="24"/>
                <w:szCs w:val="24"/>
              </w:rPr>
              <w:t>Beverley Kuchar, Interim Chief Planning Officer</w:t>
            </w:r>
          </w:p>
        </w:tc>
      </w:tr>
      <w:tr w:rsidR="00201441" w:rsidRPr="00201441" w14:paraId="3B6FD8B1" w14:textId="77777777" w:rsidTr="0052240E">
        <w:trPr>
          <w:trHeight w:val="901"/>
        </w:trPr>
        <w:tc>
          <w:tcPr>
            <w:tcW w:w="3456" w:type="dxa"/>
          </w:tcPr>
          <w:p w14:paraId="0961945D" w14:textId="77777777" w:rsidR="001C7E35" w:rsidRPr="00201441" w:rsidRDefault="001C7E35" w:rsidP="00C869F3">
            <w:pPr>
              <w:pStyle w:val="Infotext"/>
              <w:spacing w:after="240"/>
              <w:rPr>
                <w:rFonts w:ascii="Arial Black" w:hAnsi="Arial Black"/>
              </w:rPr>
            </w:pPr>
            <w:r w:rsidRPr="00201441">
              <w:rPr>
                <w:rFonts w:ascii="Arial Black" w:hAnsi="Arial Black"/>
              </w:rPr>
              <w:t>Portfolio Holder:</w:t>
            </w:r>
          </w:p>
        </w:tc>
        <w:tc>
          <w:tcPr>
            <w:tcW w:w="5054" w:type="dxa"/>
          </w:tcPr>
          <w:p w14:paraId="3D49E27A" w14:textId="77777777" w:rsidR="000A6B6E" w:rsidRDefault="00ED3786" w:rsidP="00BB37F6">
            <w:pPr>
              <w:pStyle w:val="Infotext"/>
              <w:spacing w:before="40"/>
              <w:rPr>
                <w:rFonts w:cs="Arial"/>
                <w:bCs/>
                <w:sz w:val="24"/>
                <w:szCs w:val="24"/>
              </w:rPr>
            </w:pPr>
            <w:r w:rsidRPr="00201441">
              <w:rPr>
                <w:rFonts w:cs="Arial"/>
                <w:bCs/>
                <w:sz w:val="24"/>
                <w:szCs w:val="24"/>
              </w:rPr>
              <w:t>Graham Henson, Leader of the Council</w:t>
            </w:r>
            <w:r w:rsidR="00BB37F6">
              <w:rPr>
                <w:rFonts w:cs="Arial"/>
                <w:bCs/>
                <w:sz w:val="24"/>
                <w:szCs w:val="24"/>
              </w:rPr>
              <w:t xml:space="preserve"> and Portfolio Holder for</w:t>
            </w:r>
            <w:r w:rsidRPr="00201441">
              <w:rPr>
                <w:rFonts w:cs="Arial"/>
                <w:bCs/>
                <w:sz w:val="24"/>
                <w:szCs w:val="24"/>
              </w:rPr>
              <w:t xml:space="preserve"> Strategy, </w:t>
            </w:r>
            <w:r w:rsidR="00686F7C" w:rsidRPr="00201441">
              <w:rPr>
                <w:rFonts w:cs="Arial"/>
                <w:bCs/>
                <w:sz w:val="24"/>
                <w:szCs w:val="24"/>
              </w:rPr>
              <w:t>Regeneration</w:t>
            </w:r>
            <w:r w:rsidRPr="00201441">
              <w:rPr>
                <w:rFonts w:cs="Arial"/>
                <w:bCs/>
                <w:sz w:val="24"/>
                <w:szCs w:val="24"/>
              </w:rPr>
              <w:t>, Partnerships a</w:t>
            </w:r>
            <w:r w:rsidR="008F7E0D" w:rsidRPr="00201441">
              <w:rPr>
                <w:rFonts w:cs="Arial"/>
                <w:bCs/>
                <w:sz w:val="24"/>
                <w:szCs w:val="24"/>
              </w:rPr>
              <w:t>n</w:t>
            </w:r>
            <w:r w:rsidRPr="00201441">
              <w:rPr>
                <w:rFonts w:cs="Arial"/>
                <w:bCs/>
                <w:sz w:val="24"/>
                <w:szCs w:val="24"/>
              </w:rPr>
              <w:t xml:space="preserve">d Devolution </w:t>
            </w:r>
          </w:p>
          <w:p w14:paraId="39A9A01A" w14:textId="12255566" w:rsidR="00BB37F6" w:rsidRPr="00201441" w:rsidRDefault="00BB37F6" w:rsidP="00BB37F6">
            <w:pPr>
              <w:pStyle w:val="Infotext"/>
              <w:spacing w:before="40"/>
              <w:rPr>
                <w:rFonts w:cs="Arial"/>
                <w:sz w:val="24"/>
                <w:szCs w:val="24"/>
              </w:rPr>
            </w:pPr>
          </w:p>
        </w:tc>
      </w:tr>
      <w:tr w:rsidR="00201441" w:rsidRPr="00201441" w14:paraId="3CF618C8" w14:textId="77777777" w:rsidTr="00EB3CF0">
        <w:tc>
          <w:tcPr>
            <w:tcW w:w="3456" w:type="dxa"/>
          </w:tcPr>
          <w:p w14:paraId="4CD8D092" w14:textId="77777777" w:rsidR="001C7E35" w:rsidRPr="00201441" w:rsidRDefault="001C7E35" w:rsidP="00C869F3">
            <w:pPr>
              <w:pStyle w:val="Infotext"/>
              <w:spacing w:after="240"/>
              <w:rPr>
                <w:rFonts w:ascii="Arial Black" w:hAnsi="Arial Black"/>
              </w:rPr>
            </w:pPr>
            <w:r w:rsidRPr="00201441">
              <w:rPr>
                <w:rFonts w:ascii="Arial Black" w:hAnsi="Arial Black"/>
              </w:rPr>
              <w:t>Exempt:</w:t>
            </w:r>
          </w:p>
        </w:tc>
        <w:tc>
          <w:tcPr>
            <w:tcW w:w="5054" w:type="dxa"/>
          </w:tcPr>
          <w:p w14:paraId="34C65BD0" w14:textId="45381506" w:rsidR="001C7E35" w:rsidRPr="00201441" w:rsidRDefault="001C7E35" w:rsidP="00201441">
            <w:pPr>
              <w:pStyle w:val="Infotext"/>
              <w:spacing w:before="40"/>
              <w:rPr>
                <w:rFonts w:cs="Arial"/>
                <w:sz w:val="24"/>
                <w:szCs w:val="24"/>
              </w:rPr>
            </w:pPr>
            <w:r w:rsidRPr="00201441">
              <w:rPr>
                <w:rFonts w:cs="Arial"/>
                <w:sz w:val="24"/>
                <w:szCs w:val="24"/>
              </w:rPr>
              <w:t>No</w:t>
            </w:r>
          </w:p>
          <w:p w14:paraId="755E47D1" w14:textId="77777777" w:rsidR="001C7E35" w:rsidRPr="00201441" w:rsidRDefault="001C7E35" w:rsidP="00201441">
            <w:pPr>
              <w:pStyle w:val="Infotext"/>
              <w:spacing w:before="40"/>
              <w:rPr>
                <w:rFonts w:cs="Arial"/>
                <w:sz w:val="24"/>
                <w:szCs w:val="24"/>
              </w:rPr>
            </w:pPr>
          </w:p>
        </w:tc>
      </w:tr>
      <w:tr w:rsidR="00201441" w:rsidRPr="00201441" w14:paraId="577CD75A" w14:textId="77777777" w:rsidTr="00EB3CF0">
        <w:tc>
          <w:tcPr>
            <w:tcW w:w="3456" w:type="dxa"/>
          </w:tcPr>
          <w:p w14:paraId="4821943C" w14:textId="77777777" w:rsidR="001C7E35" w:rsidRPr="00201441" w:rsidRDefault="001C7E35" w:rsidP="00C869F3">
            <w:pPr>
              <w:pStyle w:val="Infotext"/>
              <w:spacing w:after="240"/>
              <w:rPr>
                <w:rFonts w:ascii="Arial Black" w:hAnsi="Arial Black"/>
              </w:rPr>
            </w:pPr>
            <w:r w:rsidRPr="00201441">
              <w:rPr>
                <w:rFonts w:ascii="Arial Black" w:hAnsi="Arial Black"/>
              </w:rPr>
              <w:t>Decision subject to Call-in:</w:t>
            </w:r>
          </w:p>
        </w:tc>
        <w:tc>
          <w:tcPr>
            <w:tcW w:w="5054" w:type="dxa"/>
          </w:tcPr>
          <w:p w14:paraId="4B40AAFF" w14:textId="62E5E4C8" w:rsidR="001C7E35" w:rsidRPr="00201441" w:rsidRDefault="000A6B6E" w:rsidP="00201441">
            <w:pPr>
              <w:pStyle w:val="Infotext"/>
              <w:spacing w:before="40"/>
              <w:rPr>
                <w:rFonts w:cs="Arial"/>
                <w:sz w:val="24"/>
                <w:szCs w:val="24"/>
              </w:rPr>
            </w:pPr>
            <w:r>
              <w:rPr>
                <w:rFonts w:cs="Arial"/>
                <w:sz w:val="24"/>
                <w:szCs w:val="24"/>
              </w:rPr>
              <w:t>Yes</w:t>
            </w:r>
          </w:p>
          <w:p w14:paraId="3A75E271" w14:textId="77777777" w:rsidR="00714BEE" w:rsidRPr="00201441" w:rsidRDefault="00714BEE" w:rsidP="00201441">
            <w:pPr>
              <w:spacing w:before="40"/>
              <w:rPr>
                <w:rFonts w:cs="Arial"/>
                <w:szCs w:val="24"/>
              </w:rPr>
            </w:pPr>
          </w:p>
        </w:tc>
      </w:tr>
      <w:tr w:rsidR="00201441" w:rsidRPr="00201441" w14:paraId="7E5497E1" w14:textId="77777777" w:rsidTr="00EB3CF0">
        <w:tc>
          <w:tcPr>
            <w:tcW w:w="3456" w:type="dxa"/>
          </w:tcPr>
          <w:p w14:paraId="6B5E6A6A" w14:textId="77777777" w:rsidR="001C7E35" w:rsidRPr="00201441" w:rsidRDefault="001C7E35" w:rsidP="00C869F3">
            <w:pPr>
              <w:pStyle w:val="Infotext"/>
              <w:spacing w:after="240"/>
              <w:rPr>
                <w:rFonts w:ascii="Arial Black" w:hAnsi="Arial Black" w:cs="Arial"/>
              </w:rPr>
            </w:pPr>
            <w:r w:rsidRPr="00201441">
              <w:rPr>
                <w:rFonts w:ascii="Arial Black" w:hAnsi="Arial Black" w:cs="Arial"/>
              </w:rPr>
              <w:t>Wards affected:</w:t>
            </w:r>
          </w:p>
        </w:tc>
        <w:tc>
          <w:tcPr>
            <w:tcW w:w="5054" w:type="dxa"/>
          </w:tcPr>
          <w:p w14:paraId="1837FC0A" w14:textId="310C56AD" w:rsidR="00953855" w:rsidRPr="00201441" w:rsidRDefault="00953855" w:rsidP="00953855">
            <w:pPr>
              <w:spacing w:before="80"/>
              <w:rPr>
                <w:rFonts w:cs="Arial"/>
                <w:szCs w:val="24"/>
              </w:rPr>
            </w:pPr>
            <w:r w:rsidRPr="00201441">
              <w:rPr>
                <w:rFonts w:cs="Arial"/>
                <w:szCs w:val="24"/>
              </w:rPr>
              <w:t xml:space="preserve">Harrow on the Hill, Pinner, Harrow Weald, Marlborough, Stanmore Park, Greenhill, Headstone North, Headstone South and </w:t>
            </w:r>
            <w:r w:rsidR="00467596">
              <w:rPr>
                <w:rFonts w:cs="Arial"/>
                <w:szCs w:val="24"/>
              </w:rPr>
              <w:t>Roxeth</w:t>
            </w:r>
            <w:bookmarkStart w:id="0" w:name="_GoBack"/>
            <w:bookmarkEnd w:id="0"/>
          </w:p>
          <w:p w14:paraId="52E38AE7" w14:textId="5E4500AE" w:rsidR="00307F76" w:rsidRPr="00201441" w:rsidRDefault="00307F76" w:rsidP="00D835CF">
            <w:pPr>
              <w:rPr>
                <w:rFonts w:cs="Arial"/>
                <w:b/>
                <w:szCs w:val="24"/>
              </w:rPr>
            </w:pPr>
          </w:p>
        </w:tc>
      </w:tr>
      <w:tr w:rsidR="00201441" w:rsidRPr="00201441" w14:paraId="5F1445BF" w14:textId="77777777" w:rsidTr="00EB3CF0">
        <w:tc>
          <w:tcPr>
            <w:tcW w:w="3456" w:type="dxa"/>
          </w:tcPr>
          <w:p w14:paraId="0E539C63" w14:textId="77777777" w:rsidR="001C7E35" w:rsidRPr="00201441" w:rsidRDefault="001C7E35" w:rsidP="00C869F3">
            <w:pPr>
              <w:pStyle w:val="Infotext"/>
              <w:spacing w:after="240"/>
              <w:rPr>
                <w:rFonts w:ascii="Arial Black" w:hAnsi="Arial Black" w:cs="Arial"/>
              </w:rPr>
            </w:pPr>
            <w:r w:rsidRPr="00201441">
              <w:rPr>
                <w:rFonts w:ascii="Arial Black" w:hAnsi="Arial Black" w:cs="Arial"/>
              </w:rPr>
              <w:t>Enclosures:</w:t>
            </w:r>
          </w:p>
        </w:tc>
        <w:tc>
          <w:tcPr>
            <w:tcW w:w="5054" w:type="dxa"/>
          </w:tcPr>
          <w:p w14:paraId="408CD8A6" w14:textId="73E91117" w:rsidR="009D761F" w:rsidRPr="00201441" w:rsidRDefault="009D761F" w:rsidP="00953855">
            <w:pPr>
              <w:pStyle w:val="Infotext"/>
              <w:spacing w:before="80"/>
              <w:rPr>
                <w:rFonts w:cs="Arial"/>
                <w:sz w:val="24"/>
                <w:szCs w:val="24"/>
              </w:rPr>
            </w:pPr>
            <w:r w:rsidRPr="00201441">
              <w:rPr>
                <w:rFonts w:cs="Arial"/>
                <w:sz w:val="24"/>
                <w:szCs w:val="24"/>
              </w:rPr>
              <w:t>Appendix 1 – Summary of responses</w:t>
            </w:r>
          </w:p>
          <w:p w14:paraId="5F64F041" w14:textId="0B1505D1" w:rsidR="00953855" w:rsidRPr="00201441" w:rsidRDefault="00953855" w:rsidP="00953855">
            <w:pPr>
              <w:pStyle w:val="Infotext"/>
              <w:spacing w:before="80"/>
              <w:rPr>
                <w:rFonts w:cs="Arial"/>
                <w:sz w:val="24"/>
                <w:szCs w:val="24"/>
              </w:rPr>
            </w:pPr>
            <w:r w:rsidRPr="00201441">
              <w:rPr>
                <w:rFonts w:cs="Arial"/>
                <w:sz w:val="24"/>
                <w:szCs w:val="24"/>
              </w:rPr>
              <w:t xml:space="preserve">Appendix </w:t>
            </w:r>
            <w:r w:rsidR="009D761F" w:rsidRPr="00201441">
              <w:rPr>
                <w:rFonts w:cs="Arial"/>
                <w:sz w:val="24"/>
                <w:szCs w:val="24"/>
              </w:rPr>
              <w:t>2</w:t>
            </w:r>
            <w:r w:rsidRPr="00201441">
              <w:rPr>
                <w:rFonts w:cs="Arial"/>
                <w:sz w:val="24"/>
                <w:szCs w:val="24"/>
              </w:rPr>
              <w:t xml:space="preserve"> of proposed boundaries and descriptions:</w:t>
            </w:r>
          </w:p>
          <w:p w14:paraId="3E61E161"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 xml:space="preserve">St John the Evangelist and Old Stanmore Church churchyard, Stanmore </w:t>
            </w:r>
          </w:p>
          <w:p w14:paraId="4C101211"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Waxwell Close and the gardens to Waxwell Farmhouse, Pinner</w:t>
            </w:r>
          </w:p>
          <w:p w14:paraId="1F91E920"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The Cedars Open Space, Uxbridge Road, Harrow Weald</w:t>
            </w:r>
          </w:p>
          <w:p w14:paraId="3BA92706"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Byron Recreation Ground and Wealdstone Cemetery, Wealdstone</w:t>
            </w:r>
          </w:p>
          <w:p w14:paraId="634AE612"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Stanmore Recreation Ground, Stanmore</w:t>
            </w:r>
          </w:p>
          <w:p w14:paraId="4B693906"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St Mary’s Churchyard and Churchyard Extension, Harrow on the Hill</w:t>
            </w:r>
          </w:p>
          <w:p w14:paraId="1EBD7805"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lastRenderedPageBreak/>
              <w:t>St John the Baptist Church, Pinner</w:t>
            </w:r>
          </w:p>
          <w:p w14:paraId="65B20D50"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Small green in front of Church Farm, Pinner</w:t>
            </w:r>
          </w:p>
          <w:p w14:paraId="7AB5AA6C"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Pinner Hill golf course, Pinner</w:t>
            </w:r>
          </w:p>
          <w:p w14:paraId="2657F4CF"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Little Common, Stanmore</w:t>
            </w:r>
          </w:p>
          <w:p w14:paraId="1757818B" w14:textId="608A56BD" w:rsidR="00953855" w:rsidRPr="00201441" w:rsidRDefault="00953855" w:rsidP="00953855">
            <w:pPr>
              <w:pStyle w:val="Infotext"/>
              <w:numPr>
                <w:ilvl w:val="0"/>
                <w:numId w:val="3"/>
              </w:numPr>
              <w:rPr>
                <w:rFonts w:cs="Arial"/>
                <w:sz w:val="24"/>
                <w:szCs w:val="24"/>
              </w:rPr>
            </w:pPr>
            <w:r w:rsidRPr="00201441">
              <w:rPr>
                <w:rFonts w:cs="Arial"/>
                <w:sz w:val="24"/>
                <w:szCs w:val="24"/>
              </w:rPr>
              <w:t>Headstone Manor Recreation Ground, Pinner View</w:t>
            </w:r>
          </w:p>
          <w:p w14:paraId="0A4C7A10"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Harrow Cemetery, Pinner Road, Harrow</w:t>
            </w:r>
          </w:p>
          <w:p w14:paraId="32F37362"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Grovefields, Harrow on the Hill</w:t>
            </w:r>
          </w:p>
          <w:p w14:paraId="409E3996"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Eastcote Lane cemetery, South Harrow</w:t>
            </w:r>
          </w:p>
          <w:p w14:paraId="1114182C" w14:textId="77777777" w:rsidR="00953855" w:rsidRPr="00201441" w:rsidRDefault="00953855" w:rsidP="00953855">
            <w:pPr>
              <w:pStyle w:val="Infotext"/>
              <w:numPr>
                <w:ilvl w:val="0"/>
                <w:numId w:val="3"/>
              </w:numPr>
              <w:rPr>
                <w:rFonts w:cs="Arial"/>
                <w:sz w:val="24"/>
                <w:szCs w:val="24"/>
              </w:rPr>
            </w:pPr>
            <w:r w:rsidRPr="00201441">
              <w:rPr>
                <w:rFonts w:cs="Arial"/>
                <w:sz w:val="24"/>
                <w:szCs w:val="24"/>
              </w:rPr>
              <w:t>All Saints Churchyard, Harrow Weald and All Saints Churchyard extension</w:t>
            </w:r>
          </w:p>
          <w:p w14:paraId="362E7C7C" w14:textId="0CF0DA69" w:rsidR="00953855" w:rsidRPr="00201441" w:rsidRDefault="00953855" w:rsidP="00953855">
            <w:pPr>
              <w:pStyle w:val="Infotext"/>
              <w:ind w:left="720"/>
              <w:rPr>
                <w:rFonts w:cs="Arial"/>
                <w:sz w:val="24"/>
                <w:szCs w:val="24"/>
              </w:rPr>
            </w:pPr>
          </w:p>
          <w:p w14:paraId="6668D730" w14:textId="045C2E32" w:rsidR="001C7E35" w:rsidRPr="00201441" w:rsidRDefault="001C7E35" w:rsidP="00DB6C3D">
            <w:pPr>
              <w:pStyle w:val="Infotext"/>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201441" w:rsidRPr="00201441" w14:paraId="39320826" w14:textId="77777777" w:rsidTr="002B763E">
        <w:trPr>
          <w:tblHeader/>
        </w:trPr>
        <w:tc>
          <w:tcPr>
            <w:tcW w:w="8309" w:type="dxa"/>
            <w:tcBorders>
              <w:top w:val="nil"/>
              <w:left w:val="nil"/>
              <w:right w:val="nil"/>
            </w:tcBorders>
          </w:tcPr>
          <w:p w14:paraId="3A67BFB3" w14:textId="77777777" w:rsidR="00333FAA" w:rsidRPr="00201441" w:rsidRDefault="00333FAA" w:rsidP="00605A4C">
            <w:pPr>
              <w:pStyle w:val="Heading2"/>
              <w:spacing w:after="240"/>
            </w:pPr>
            <w:r w:rsidRPr="00201441">
              <w:lastRenderedPageBreak/>
              <w:t>Section 1 – Summary and Recommendations</w:t>
            </w:r>
          </w:p>
        </w:tc>
      </w:tr>
      <w:tr w:rsidR="00201441" w:rsidRPr="00201441" w14:paraId="5D78E563" w14:textId="77777777" w:rsidTr="002B763E">
        <w:trPr>
          <w:tblHeader/>
        </w:trPr>
        <w:tc>
          <w:tcPr>
            <w:tcW w:w="8309" w:type="dxa"/>
          </w:tcPr>
          <w:p w14:paraId="35D5FF57" w14:textId="5EAE95DC" w:rsidR="00953855" w:rsidRPr="00201441" w:rsidRDefault="00953855" w:rsidP="00953855">
            <w:pPr>
              <w:jc w:val="both"/>
              <w:rPr>
                <w:rFonts w:cs="Arial"/>
                <w:szCs w:val="24"/>
              </w:rPr>
            </w:pPr>
            <w:r w:rsidRPr="00201441">
              <w:rPr>
                <w:rFonts w:cs="Arial"/>
                <w:szCs w:val="24"/>
              </w:rPr>
              <w:t xml:space="preserve">Following public consultation, this report seeks the addition of 15 parks and gardens in Harrow (as shown in </w:t>
            </w:r>
            <w:r w:rsidR="002B763E" w:rsidRPr="00201441">
              <w:rPr>
                <w:rFonts w:cs="Arial"/>
                <w:szCs w:val="24"/>
              </w:rPr>
              <w:t>Appendix 2</w:t>
            </w:r>
            <w:r w:rsidRPr="00201441">
              <w:rPr>
                <w:rFonts w:cs="Arial"/>
                <w:szCs w:val="24"/>
              </w:rPr>
              <w:t xml:space="preserve"> with their proposed local list descriptions) to </w:t>
            </w:r>
            <w:r w:rsidR="00686F7C" w:rsidRPr="00201441">
              <w:rPr>
                <w:rFonts w:cs="Arial"/>
                <w:szCs w:val="24"/>
              </w:rPr>
              <w:t xml:space="preserve">Harrow’s </w:t>
            </w:r>
            <w:r w:rsidRPr="00201441">
              <w:rPr>
                <w:rFonts w:cs="Arial"/>
                <w:szCs w:val="24"/>
              </w:rPr>
              <w:t>local list of historic parks and gardens.</w:t>
            </w:r>
          </w:p>
          <w:p w14:paraId="6DB16B78" w14:textId="77777777" w:rsidR="00953855" w:rsidRPr="00201441" w:rsidRDefault="00953855" w:rsidP="00953855">
            <w:pPr>
              <w:jc w:val="both"/>
              <w:rPr>
                <w:rFonts w:cs="Arial"/>
                <w:szCs w:val="24"/>
              </w:rPr>
            </w:pPr>
          </w:p>
          <w:p w14:paraId="4A74C3A5" w14:textId="0798FB12" w:rsidR="00953855" w:rsidRPr="00201441" w:rsidRDefault="00953855" w:rsidP="00953855">
            <w:pPr>
              <w:jc w:val="both"/>
              <w:rPr>
                <w:rFonts w:cs="Arial"/>
                <w:szCs w:val="24"/>
              </w:rPr>
            </w:pPr>
            <w:r w:rsidRPr="00201441">
              <w:rPr>
                <w:rFonts w:cs="Arial"/>
                <w:szCs w:val="24"/>
              </w:rPr>
              <w:t xml:space="preserve">This report documents the outcomes of a consultation period that ran from 31st October to 12th December 2019 during which a total of 39 responses were received. The report summarises the representations received and provides officers’ responses to these, including any amendments to the proposals. The </w:t>
            </w:r>
            <w:r w:rsidR="006B34F3" w:rsidRPr="00201441">
              <w:rPr>
                <w:rFonts w:cs="Arial"/>
                <w:szCs w:val="24"/>
              </w:rPr>
              <w:t xml:space="preserve">full </w:t>
            </w:r>
            <w:r w:rsidRPr="00201441">
              <w:rPr>
                <w:rFonts w:cs="Arial"/>
                <w:szCs w:val="24"/>
              </w:rPr>
              <w:t xml:space="preserve">consultation outcomes are </w:t>
            </w:r>
            <w:r w:rsidR="00ED3786" w:rsidRPr="00201441">
              <w:rPr>
                <w:rFonts w:cs="Arial"/>
                <w:szCs w:val="24"/>
              </w:rPr>
              <w:t>included as a background paper</w:t>
            </w:r>
            <w:r w:rsidRPr="00201441">
              <w:rPr>
                <w:rFonts w:cs="Arial"/>
                <w:szCs w:val="24"/>
              </w:rPr>
              <w:t>.</w:t>
            </w:r>
          </w:p>
          <w:p w14:paraId="7C825DE4" w14:textId="77777777" w:rsidR="00953855" w:rsidRPr="00201441" w:rsidRDefault="00953855" w:rsidP="00953855">
            <w:pPr>
              <w:pStyle w:val="Heading2"/>
              <w:jc w:val="both"/>
              <w:rPr>
                <w:sz w:val="24"/>
                <w:szCs w:val="24"/>
              </w:rPr>
            </w:pPr>
          </w:p>
          <w:p w14:paraId="3058E293" w14:textId="77777777" w:rsidR="00953855" w:rsidRPr="00201441" w:rsidRDefault="00953855" w:rsidP="00953855">
            <w:pPr>
              <w:pStyle w:val="Heading2"/>
              <w:jc w:val="both"/>
              <w:rPr>
                <w:sz w:val="24"/>
                <w:szCs w:val="24"/>
              </w:rPr>
            </w:pPr>
            <w:r w:rsidRPr="00201441">
              <w:rPr>
                <w:sz w:val="24"/>
                <w:szCs w:val="24"/>
              </w:rPr>
              <w:t xml:space="preserve">Recommendations: </w:t>
            </w:r>
          </w:p>
          <w:p w14:paraId="5CF8E6DC" w14:textId="77777777" w:rsidR="00953855" w:rsidRPr="00201441" w:rsidRDefault="00953855" w:rsidP="00953855">
            <w:pPr>
              <w:jc w:val="both"/>
              <w:rPr>
                <w:rFonts w:cs="Arial"/>
                <w:szCs w:val="24"/>
              </w:rPr>
            </w:pPr>
            <w:r w:rsidRPr="00201441">
              <w:rPr>
                <w:rFonts w:cs="Arial"/>
                <w:szCs w:val="24"/>
              </w:rPr>
              <w:t xml:space="preserve">Cabinet is requested to: </w:t>
            </w:r>
          </w:p>
          <w:p w14:paraId="53BD6E5F" w14:textId="0216F9F2" w:rsidR="00953855" w:rsidRPr="00201441" w:rsidRDefault="00953855" w:rsidP="00953855">
            <w:pPr>
              <w:numPr>
                <w:ilvl w:val="0"/>
                <w:numId w:val="4"/>
              </w:numPr>
              <w:jc w:val="both"/>
              <w:rPr>
                <w:rFonts w:cs="Arial"/>
                <w:szCs w:val="24"/>
              </w:rPr>
            </w:pPr>
            <w:r w:rsidRPr="00201441">
              <w:rPr>
                <w:rFonts w:cs="Arial"/>
                <w:szCs w:val="24"/>
              </w:rPr>
              <w:t xml:space="preserve">Note the representations received in response to the consultation on the proposals and officers’ responses to these set out in the body of the report and in </w:t>
            </w:r>
            <w:r w:rsidR="002B763E" w:rsidRPr="00201441">
              <w:rPr>
                <w:rFonts w:cs="Arial"/>
                <w:szCs w:val="24"/>
              </w:rPr>
              <w:t>Appendix 1</w:t>
            </w:r>
            <w:r w:rsidRPr="00201441">
              <w:rPr>
                <w:rFonts w:cs="Arial"/>
                <w:szCs w:val="24"/>
              </w:rPr>
              <w:t>.</w:t>
            </w:r>
          </w:p>
          <w:p w14:paraId="2540144C" w14:textId="21E3E4B4" w:rsidR="00953855" w:rsidRPr="00201441" w:rsidRDefault="00953855" w:rsidP="00953855">
            <w:pPr>
              <w:numPr>
                <w:ilvl w:val="0"/>
                <w:numId w:val="4"/>
              </w:numPr>
              <w:jc w:val="both"/>
              <w:rPr>
                <w:rFonts w:cs="Arial"/>
                <w:szCs w:val="24"/>
              </w:rPr>
            </w:pPr>
            <w:r w:rsidRPr="00201441">
              <w:rPr>
                <w:rFonts w:cs="Arial"/>
                <w:szCs w:val="24"/>
              </w:rPr>
              <w:t xml:space="preserve">Approve the addition of 15 parks and gardens </w:t>
            </w:r>
            <w:r w:rsidR="006B34F3" w:rsidRPr="00201441">
              <w:rPr>
                <w:rFonts w:cs="Arial"/>
                <w:szCs w:val="24"/>
              </w:rPr>
              <w:t xml:space="preserve">to the </w:t>
            </w:r>
            <w:r w:rsidRPr="00201441">
              <w:rPr>
                <w:rFonts w:cs="Arial"/>
                <w:szCs w:val="24"/>
              </w:rPr>
              <w:t xml:space="preserve">Harrow local list of historic parks and gardens (as shown in </w:t>
            </w:r>
            <w:r w:rsidR="002B763E" w:rsidRPr="00201441">
              <w:rPr>
                <w:rFonts w:cs="Arial"/>
                <w:szCs w:val="24"/>
              </w:rPr>
              <w:t>A</w:t>
            </w:r>
            <w:r w:rsidRPr="00201441">
              <w:rPr>
                <w:rFonts w:cs="Arial"/>
                <w:szCs w:val="24"/>
              </w:rPr>
              <w:t>ppendix</w:t>
            </w:r>
            <w:r w:rsidR="002B763E" w:rsidRPr="00201441">
              <w:rPr>
                <w:rFonts w:cs="Arial"/>
                <w:szCs w:val="24"/>
              </w:rPr>
              <w:t> 2</w:t>
            </w:r>
            <w:r w:rsidRPr="00201441">
              <w:rPr>
                <w:rFonts w:cs="Arial"/>
                <w:szCs w:val="24"/>
              </w:rPr>
              <w:t xml:space="preserve"> with their proposed local list descriptions).</w:t>
            </w:r>
          </w:p>
          <w:p w14:paraId="26575CA9" w14:textId="77777777" w:rsidR="00953855" w:rsidRPr="00201441" w:rsidRDefault="00953855" w:rsidP="00953855">
            <w:pPr>
              <w:jc w:val="both"/>
              <w:rPr>
                <w:rFonts w:cs="Arial"/>
                <w:szCs w:val="24"/>
              </w:rPr>
            </w:pPr>
          </w:p>
          <w:p w14:paraId="008A89F4" w14:textId="77777777" w:rsidR="00953855" w:rsidRPr="00201441" w:rsidRDefault="00953855" w:rsidP="00953855">
            <w:pPr>
              <w:pStyle w:val="Heading2"/>
              <w:jc w:val="both"/>
              <w:rPr>
                <w:sz w:val="24"/>
                <w:szCs w:val="24"/>
              </w:rPr>
            </w:pPr>
            <w:r w:rsidRPr="00201441">
              <w:rPr>
                <w:sz w:val="24"/>
                <w:szCs w:val="24"/>
              </w:rPr>
              <w:t xml:space="preserve">Reason: (For recommendations)  </w:t>
            </w:r>
          </w:p>
          <w:p w14:paraId="5DDAFEDA" w14:textId="77777777" w:rsidR="00953855" w:rsidRPr="00201441" w:rsidRDefault="00953855" w:rsidP="00953855">
            <w:pPr>
              <w:numPr>
                <w:ilvl w:val="0"/>
                <w:numId w:val="5"/>
              </w:numPr>
              <w:jc w:val="both"/>
              <w:rPr>
                <w:rFonts w:cs="Arial"/>
                <w:szCs w:val="24"/>
              </w:rPr>
            </w:pPr>
            <w:r w:rsidRPr="00201441">
              <w:rPr>
                <w:rFonts w:cs="Arial"/>
                <w:szCs w:val="24"/>
              </w:rPr>
              <w:t xml:space="preserve">To comply with the National Planning Policy Framework requirement that planning authorities ensure that they make information about the significance of the historic environment gathered as part of plan-making or development management publicly accessible. </w:t>
            </w:r>
          </w:p>
          <w:p w14:paraId="356FC74A" w14:textId="77777777" w:rsidR="00953855" w:rsidRPr="00201441" w:rsidRDefault="00953855" w:rsidP="00953855">
            <w:pPr>
              <w:numPr>
                <w:ilvl w:val="0"/>
                <w:numId w:val="5"/>
              </w:numPr>
              <w:jc w:val="both"/>
              <w:rPr>
                <w:rFonts w:cs="Arial"/>
                <w:szCs w:val="24"/>
              </w:rPr>
            </w:pPr>
            <w:r w:rsidRPr="00201441">
              <w:rPr>
                <w:rFonts w:cs="Arial"/>
                <w:szCs w:val="24"/>
              </w:rPr>
              <w:t>Providing locally listed status to those heritage assets that have local merit will help protect Harrow’s local historic and architectural interest and assist the Council to meet its corporate priority that seeks to</w:t>
            </w:r>
            <w:r w:rsidRPr="00201441">
              <w:rPr>
                <w:rFonts w:cs="Arial"/>
                <w:i/>
                <w:iCs/>
                <w:szCs w:val="24"/>
              </w:rPr>
              <w:t xml:space="preserve"> build stronger communities</w:t>
            </w:r>
            <w:r w:rsidRPr="00201441">
              <w:rPr>
                <w:rFonts w:cs="Arial"/>
                <w:szCs w:val="24"/>
              </w:rPr>
              <w:t xml:space="preserve">. </w:t>
            </w:r>
          </w:p>
          <w:p w14:paraId="1C3D3BE0" w14:textId="77777777" w:rsidR="00953855" w:rsidRPr="00201441" w:rsidRDefault="00953855" w:rsidP="00953855">
            <w:pPr>
              <w:numPr>
                <w:ilvl w:val="0"/>
                <w:numId w:val="5"/>
              </w:numPr>
              <w:jc w:val="both"/>
              <w:rPr>
                <w:rFonts w:cs="Arial"/>
                <w:szCs w:val="24"/>
              </w:rPr>
            </w:pPr>
            <w:r w:rsidRPr="00201441">
              <w:rPr>
                <w:rFonts w:cs="Arial"/>
                <w:szCs w:val="24"/>
              </w:rPr>
              <w:t>To comply with the Harrow Core Strategy (adopted 12</w:t>
            </w:r>
            <w:r w:rsidRPr="00201441">
              <w:rPr>
                <w:rFonts w:cs="Arial"/>
                <w:szCs w:val="24"/>
                <w:vertAlign w:val="superscript"/>
              </w:rPr>
              <w:t>th</w:t>
            </w:r>
            <w:r w:rsidRPr="00201441">
              <w:rPr>
                <w:rFonts w:cs="Arial"/>
                <w:szCs w:val="24"/>
              </w:rPr>
              <w:t xml:space="preserve"> February 2012) Strategic Objective 1 for ‘heritage assets – parks and gardens’ for an ‘</w:t>
            </w:r>
            <w:r w:rsidRPr="00201441">
              <w:rPr>
                <w:rFonts w:cs="Arial"/>
                <w:szCs w:val="24"/>
                <w:lang w:eastAsia="en-GB"/>
              </w:rPr>
              <w:t>up to date list of locally important historic parks and gardens’.</w:t>
            </w:r>
            <w:r w:rsidRPr="00201441">
              <w:rPr>
                <w:rFonts w:cs="Arial"/>
                <w:szCs w:val="24"/>
              </w:rPr>
              <w:t xml:space="preserve"> </w:t>
            </w:r>
          </w:p>
          <w:p w14:paraId="313BC81E" w14:textId="77777777" w:rsidR="00333FAA" w:rsidRPr="00201441" w:rsidRDefault="00333FAA" w:rsidP="00605A4C"/>
        </w:tc>
      </w:tr>
    </w:tbl>
    <w:p w14:paraId="0204F38A" w14:textId="77777777" w:rsidR="00333FAA" w:rsidRPr="00201441" w:rsidRDefault="00333FAA" w:rsidP="00F06E4E">
      <w:pPr>
        <w:pStyle w:val="Heading2"/>
        <w:spacing w:before="480"/>
      </w:pPr>
      <w:r w:rsidRPr="00201441">
        <w:t>Section 2 – Report</w:t>
      </w:r>
    </w:p>
    <w:p w14:paraId="70F1DC59" w14:textId="77777777" w:rsidR="00953855" w:rsidRPr="00201441" w:rsidRDefault="00953855" w:rsidP="00953855">
      <w:pPr>
        <w:pStyle w:val="Heading2"/>
        <w:jc w:val="both"/>
        <w:rPr>
          <w:rFonts w:ascii="Arial" w:hAnsi="Arial"/>
          <w:sz w:val="24"/>
          <w:szCs w:val="24"/>
        </w:rPr>
      </w:pPr>
    </w:p>
    <w:p w14:paraId="099F3CEB" w14:textId="77777777" w:rsidR="00953855" w:rsidRPr="00201441" w:rsidRDefault="00953855" w:rsidP="00953855">
      <w:pPr>
        <w:pStyle w:val="Heading2"/>
        <w:ind w:left="851" w:hanging="851"/>
        <w:jc w:val="both"/>
        <w:rPr>
          <w:sz w:val="24"/>
          <w:szCs w:val="24"/>
        </w:rPr>
      </w:pPr>
      <w:r w:rsidRPr="00201441">
        <w:rPr>
          <w:sz w:val="24"/>
          <w:szCs w:val="24"/>
        </w:rPr>
        <w:t>1.</w:t>
      </w:r>
      <w:r w:rsidRPr="00201441">
        <w:rPr>
          <w:sz w:val="24"/>
          <w:szCs w:val="24"/>
        </w:rPr>
        <w:tab/>
        <w:t>Introduction</w:t>
      </w:r>
    </w:p>
    <w:p w14:paraId="3CF0BD24" w14:textId="77777777" w:rsidR="00953855" w:rsidRPr="00201441" w:rsidRDefault="00953855" w:rsidP="00953855">
      <w:pPr>
        <w:rPr>
          <w:rFonts w:cs="Arial"/>
          <w:szCs w:val="24"/>
        </w:rPr>
      </w:pPr>
    </w:p>
    <w:p w14:paraId="7A94E9A3" w14:textId="77777777" w:rsidR="00953855" w:rsidRPr="00201441" w:rsidRDefault="00953855" w:rsidP="00953855">
      <w:pPr>
        <w:ind w:left="851" w:hanging="851"/>
        <w:jc w:val="both"/>
        <w:rPr>
          <w:rFonts w:cs="Arial"/>
          <w:szCs w:val="24"/>
        </w:rPr>
      </w:pPr>
      <w:r w:rsidRPr="00201441">
        <w:rPr>
          <w:rFonts w:cs="Arial"/>
          <w:szCs w:val="24"/>
        </w:rPr>
        <w:t>1.1</w:t>
      </w:r>
      <w:r w:rsidRPr="00201441">
        <w:rPr>
          <w:rFonts w:cs="Arial"/>
          <w:szCs w:val="24"/>
        </w:rPr>
        <w:tab/>
        <w:t xml:space="preserve">The decision sought will help to provide an up to date local list of historic parks and gardens, which will help maintain Harrow’s unique historical local character which residents value. </w:t>
      </w:r>
    </w:p>
    <w:p w14:paraId="3DD41112" w14:textId="77777777" w:rsidR="00953855" w:rsidRPr="00201441" w:rsidRDefault="00953855" w:rsidP="00953855">
      <w:pPr>
        <w:jc w:val="both"/>
        <w:rPr>
          <w:rFonts w:cs="Arial"/>
          <w:szCs w:val="24"/>
        </w:rPr>
      </w:pPr>
    </w:p>
    <w:p w14:paraId="0B9FA6F3" w14:textId="77777777" w:rsidR="00953855" w:rsidRPr="00201441" w:rsidRDefault="00953855" w:rsidP="008022AB">
      <w:pPr>
        <w:pStyle w:val="Heading2"/>
        <w:keepNext/>
        <w:ind w:left="851" w:hanging="851"/>
        <w:jc w:val="both"/>
        <w:rPr>
          <w:sz w:val="24"/>
          <w:szCs w:val="24"/>
        </w:rPr>
      </w:pPr>
      <w:r w:rsidRPr="00201441">
        <w:rPr>
          <w:sz w:val="24"/>
          <w:szCs w:val="24"/>
        </w:rPr>
        <w:t>2.</w:t>
      </w:r>
      <w:r w:rsidRPr="00201441">
        <w:rPr>
          <w:sz w:val="24"/>
          <w:szCs w:val="24"/>
        </w:rPr>
        <w:tab/>
        <w:t xml:space="preserve">Options considered  </w:t>
      </w:r>
    </w:p>
    <w:p w14:paraId="06D46FBA" w14:textId="77777777" w:rsidR="00953855" w:rsidRPr="00201441" w:rsidRDefault="00953855" w:rsidP="008022AB">
      <w:pPr>
        <w:keepNext/>
        <w:jc w:val="both"/>
        <w:rPr>
          <w:rFonts w:cs="Arial"/>
          <w:szCs w:val="24"/>
        </w:rPr>
      </w:pPr>
    </w:p>
    <w:p w14:paraId="1ECEF5EF" w14:textId="77777777" w:rsidR="00953855" w:rsidRPr="00201441" w:rsidRDefault="00953855" w:rsidP="00953855">
      <w:pPr>
        <w:ind w:left="851" w:hanging="851"/>
        <w:jc w:val="both"/>
        <w:rPr>
          <w:rFonts w:cs="Arial"/>
          <w:szCs w:val="24"/>
        </w:rPr>
      </w:pPr>
      <w:r w:rsidRPr="00201441">
        <w:rPr>
          <w:rFonts w:cs="Arial"/>
          <w:szCs w:val="24"/>
        </w:rPr>
        <w:t>2.1</w:t>
      </w:r>
      <w:r w:rsidRPr="00201441">
        <w:rPr>
          <w:rFonts w:cs="Arial"/>
          <w:szCs w:val="24"/>
        </w:rPr>
        <w:tab/>
        <w:t xml:space="preserve">The option of not reviewing the local list of parks and areas was considered but would mean the Council’s recognition of heritage assets would not be up to date. This would undermine the integrity of the list </w:t>
      </w:r>
      <w:r w:rsidRPr="00201441">
        <w:rPr>
          <w:rFonts w:cs="Arial"/>
          <w:szCs w:val="24"/>
        </w:rPr>
        <w:lastRenderedPageBreak/>
        <w:t>by potentially putting assets at risk if they are not identified as locally important where appropriate. It would also risk the Council not meeting its statutory responsibilities with respect to heritage assets within the borough.</w:t>
      </w:r>
    </w:p>
    <w:p w14:paraId="04BD909E" w14:textId="57E02249" w:rsidR="00953855" w:rsidRPr="00201441" w:rsidRDefault="00953855" w:rsidP="00953855">
      <w:pPr>
        <w:pStyle w:val="Heading2"/>
        <w:ind w:left="851" w:hanging="851"/>
        <w:jc w:val="both"/>
        <w:rPr>
          <w:sz w:val="24"/>
          <w:szCs w:val="24"/>
        </w:rPr>
      </w:pPr>
    </w:p>
    <w:p w14:paraId="7761B91D" w14:textId="77777777" w:rsidR="00953855" w:rsidRPr="00201441" w:rsidRDefault="00953855" w:rsidP="00953855">
      <w:pPr>
        <w:pStyle w:val="Heading2"/>
        <w:keepNext/>
        <w:ind w:left="851" w:hanging="851"/>
        <w:jc w:val="both"/>
        <w:rPr>
          <w:sz w:val="24"/>
          <w:szCs w:val="24"/>
        </w:rPr>
      </w:pPr>
      <w:r w:rsidRPr="00201441">
        <w:rPr>
          <w:sz w:val="24"/>
          <w:szCs w:val="24"/>
        </w:rPr>
        <w:t>3.</w:t>
      </w:r>
      <w:r w:rsidRPr="00201441">
        <w:rPr>
          <w:sz w:val="24"/>
          <w:szCs w:val="24"/>
        </w:rPr>
        <w:tab/>
        <w:t>Background</w:t>
      </w:r>
    </w:p>
    <w:p w14:paraId="7B0784D1" w14:textId="77777777" w:rsidR="00953855" w:rsidRPr="00201441" w:rsidRDefault="00953855" w:rsidP="00953855">
      <w:pPr>
        <w:keepNext/>
        <w:jc w:val="both"/>
        <w:rPr>
          <w:rFonts w:cs="Arial"/>
          <w:szCs w:val="24"/>
        </w:rPr>
      </w:pPr>
    </w:p>
    <w:p w14:paraId="6A7F4CB8" w14:textId="77777777" w:rsidR="00953855" w:rsidRPr="00201441" w:rsidRDefault="00953855" w:rsidP="00953855">
      <w:pPr>
        <w:ind w:left="851" w:hanging="851"/>
        <w:jc w:val="both"/>
        <w:rPr>
          <w:rFonts w:cs="Arial"/>
          <w:szCs w:val="24"/>
        </w:rPr>
      </w:pPr>
      <w:r w:rsidRPr="00201441">
        <w:rPr>
          <w:rFonts w:cs="Arial"/>
          <w:szCs w:val="24"/>
        </w:rPr>
        <w:t>3.1</w:t>
      </w:r>
      <w:r w:rsidRPr="00201441">
        <w:rPr>
          <w:rFonts w:cs="Arial"/>
          <w:szCs w:val="24"/>
        </w:rPr>
        <w:tab/>
        <w:t xml:space="preserve">Since the adoption of the Harrow Core Strategy (2012), Harrow Council adopted Harrow Weald Park as a locally listed park and garden in 2016. This was identified as part of the review of the Harrow Weald Park (formerly West Drive) Conservation Area in preparation for the Harrow Weald Park Conservation Area Appraisal and Management Strategy (CAAMS). </w:t>
      </w:r>
    </w:p>
    <w:p w14:paraId="30AF265B" w14:textId="77777777" w:rsidR="00953855" w:rsidRPr="00201441" w:rsidRDefault="00953855" w:rsidP="00953855">
      <w:pPr>
        <w:jc w:val="both"/>
        <w:rPr>
          <w:rFonts w:cs="Arial"/>
          <w:szCs w:val="24"/>
        </w:rPr>
      </w:pPr>
    </w:p>
    <w:p w14:paraId="4A5F4008" w14:textId="77777777" w:rsidR="00953855" w:rsidRPr="00201441" w:rsidRDefault="00953855" w:rsidP="00953855">
      <w:pPr>
        <w:ind w:left="851" w:hanging="851"/>
        <w:jc w:val="both"/>
        <w:rPr>
          <w:rFonts w:cs="Arial"/>
          <w:szCs w:val="24"/>
        </w:rPr>
      </w:pPr>
      <w:r w:rsidRPr="00201441">
        <w:rPr>
          <w:rFonts w:cs="Arial"/>
          <w:szCs w:val="24"/>
        </w:rPr>
        <w:t>3.2</w:t>
      </w:r>
      <w:r w:rsidRPr="00201441">
        <w:rPr>
          <w:rFonts w:cs="Arial"/>
          <w:szCs w:val="24"/>
        </w:rPr>
        <w:tab/>
        <w:t xml:space="preserve">The local listing of Harrow Weald Park brought Harrow Council’s local list of parks and gardens to three in number. The compiling of the register began in 2002 with the inclusion of Bernays Gardens and Pinner Memorial Park which remain on the list as of today. </w:t>
      </w:r>
    </w:p>
    <w:p w14:paraId="43285DFB" w14:textId="77777777" w:rsidR="00953855" w:rsidRPr="00201441" w:rsidRDefault="00953855" w:rsidP="00953855">
      <w:pPr>
        <w:ind w:hanging="851"/>
        <w:jc w:val="both"/>
        <w:rPr>
          <w:rFonts w:cs="Arial"/>
          <w:szCs w:val="24"/>
        </w:rPr>
      </w:pPr>
    </w:p>
    <w:p w14:paraId="7EAA2F4F" w14:textId="77777777" w:rsidR="00953855" w:rsidRPr="00201441" w:rsidRDefault="00953855" w:rsidP="00953855">
      <w:pPr>
        <w:numPr>
          <w:ilvl w:val="1"/>
          <w:numId w:val="5"/>
        </w:numPr>
        <w:ind w:hanging="851"/>
        <w:jc w:val="both"/>
        <w:rPr>
          <w:rFonts w:cs="Arial"/>
          <w:szCs w:val="24"/>
        </w:rPr>
      </w:pPr>
      <w:r w:rsidRPr="00201441">
        <w:rPr>
          <w:rFonts w:cs="Arial"/>
          <w:szCs w:val="24"/>
        </w:rPr>
        <w:t>The London Parks &amp; Gardens Trust in 2003 identified approximately 50 Historic Green Spaces in Harrow as being of local interest in their ‘London Inventory Historic Green Spaces Harrow’. All Harrow’s locally listed parks and gardens are on this inventory. Since January 2017 the Council has been considering whether others on the 2003 inventory should be added to their local list of parks and gardens of historic interest.</w:t>
      </w:r>
    </w:p>
    <w:p w14:paraId="61E5F4B1" w14:textId="77777777" w:rsidR="00953855" w:rsidRPr="00201441" w:rsidRDefault="00953855" w:rsidP="00953855">
      <w:pPr>
        <w:ind w:left="720"/>
        <w:jc w:val="both"/>
        <w:rPr>
          <w:rFonts w:cs="Arial"/>
          <w:szCs w:val="24"/>
        </w:rPr>
      </w:pPr>
    </w:p>
    <w:p w14:paraId="4DE9020B" w14:textId="4791F368" w:rsidR="00953855" w:rsidRPr="00201441" w:rsidRDefault="00E768AD" w:rsidP="00953855">
      <w:pPr>
        <w:numPr>
          <w:ilvl w:val="1"/>
          <w:numId w:val="5"/>
        </w:numPr>
        <w:ind w:hanging="851"/>
        <w:jc w:val="both"/>
        <w:rPr>
          <w:rFonts w:cs="Arial"/>
          <w:szCs w:val="24"/>
        </w:rPr>
      </w:pPr>
      <w:r w:rsidRPr="00201441">
        <w:rPr>
          <w:rFonts w:cs="Arial"/>
          <w:szCs w:val="24"/>
        </w:rPr>
        <w:t xml:space="preserve">On </w:t>
      </w:r>
      <w:r w:rsidR="00953855" w:rsidRPr="00201441">
        <w:rPr>
          <w:rFonts w:cs="Arial"/>
          <w:szCs w:val="24"/>
        </w:rPr>
        <w:t>13</w:t>
      </w:r>
      <w:r w:rsidR="00953855" w:rsidRPr="00201441">
        <w:rPr>
          <w:rFonts w:cs="Arial"/>
          <w:szCs w:val="24"/>
          <w:vertAlign w:val="superscript"/>
        </w:rPr>
        <w:t>th</w:t>
      </w:r>
      <w:r w:rsidR="00953855" w:rsidRPr="00201441">
        <w:rPr>
          <w:rFonts w:cs="Arial"/>
          <w:szCs w:val="24"/>
        </w:rPr>
        <w:t xml:space="preserve"> July 2017 Cabinet agreed to public consultation for the local listing of Paines Lane Cemetery and the enhanced local list description for Pinner Memorial Park. These were taken back to Cabinet on 21</w:t>
      </w:r>
      <w:r w:rsidR="00953855" w:rsidRPr="00201441">
        <w:rPr>
          <w:rFonts w:cs="Arial"/>
          <w:szCs w:val="24"/>
          <w:vertAlign w:val="superscript"/>
        </w:rPr>
        <w:t>st</w:t>
      </w:r>
      <w:r w:rsidR="00953855" w:rsidRPr="00201441">
        <w:rPr>
          <w:rFonts w:cs="Arial"/>
          <w:szCs w:val="24"/>
        </w:rPr>
        <w:t xml:space="preserve"> February 2019 and approved following public consultation. The addition of Paines Lane Cemetery to the local list of parks and gardens </w:t>
      </w:r>
      <w:r w:rsidR="004C6ED2" w:rsidRPr="00201441">
        <w:rPr>
          <w:rFonts w:cs="Arial"/>
          <w:szCs w:val="24"/>
        </w:rPr>
        <w:t xml:space="preserve">took </w:t>
      </w:r>
      <w:r w:rsidR="00953855" w:rsidRPr="00201441">
        <w:rPr>
          <w:rFonts w:cs="Arial"/>
          <w:szCs w:val="24"/>
        </w:rPr>
        <w:t>the number of locally listed parks and gardens to four.</w:t>
      </w:r>
    </w:p>
    <w:p w14:paraId="7F002E5E" w14:textId="77777777" w:rsidR="00953855" w:rsidRPr="00201441" w:rsidRDefault="00953855" w:rsidP="00953855">
      <w:pPr>
        <w:pStyle w:val="ListParagraph"/>
        <w:rPr>
          <w:rFonts w:cs="Arial"/>
          <w:szCs w:val="24"/>
        </w:rPr>
      </w:pPr>
    </w:p>
    <w:p w14:paraId="44FFCC33" w14:textId="77777777" w:rsidR="00953855" w:rsidRPr="00201441" w:rsidRDefault="00953855" w:rsidP="00DF318F">
      <w:pPr>
        <w:keepLines/>
        <w:numPr>
          <w:ilvl w:val="1"/>
          <w:numId w:val="5"/>
        </w:numPr>
        <w:ind w:left="721" w:hanging="851"/>
        <w:jc w:val="both"/>
        <w:rPr>
          <w:rFonts w:cs="Arial"/>
          <w:szCs w:val="24"/>
        </w:rPr>
      </w:pPr>
      <w:r w:rsidRPr="00201441">
        <w:rPr>
          <w:rFonts w:cs="Arial"/>
          <w:szCs w:val="24"/>
        </w:rPr>
        <w:t>On 14</w:t>
      </w:r>
      <w:r w:rsidRPr="00201441">
        <w:rPr>
          <w:rFonts w:cs="Arial"/>
          <w:szCs w:val="24"/>
          <w:vertAlign w:val="superscript"/>
        </w:rPr>
        <w:t>th</w:t>
      </w:r>
      <w:r w:rsidRPr="00201441">
        <w:rPr>
          <w:rFonts w:cs="Arial"/>
          <w:szCs w:val="24"/>
        </w:rPr>
        <w:t xml:space="preserve"> March 2019 Cabinet approved for consultation the local listing of the Pinner Road parks and cemetery following the review of the related Pinner Road Conservation Area within the draft Pinner Road CAAMS.</w:t>
      </w:r>
    </w:p>
    <w:p w14:paraId="2449AAB4" w14:textId="77777777" w:rsidR="00953855" w:rsidRPr="00201441" w:rsidRDefault="00953855" w:rsidP="00953855">
      <w:pPr>
        <w:pStyle w:val="ListParagraph"/>
        <w:rPr>
          <w:rFonts w:cs="Arial"/>
          <w:szCs w:val="24"/>
        </w:rPr>
      </w:pPr>
    </w:p>
    <w:p w14:paraId="39267DA1" w14:textId="77777777" w:rsidR="00953855" w:rsidRPr="00201441" w:rsidRDefault="00953855" w:rsidP="00953855">
      <w:pPr>
        <w:numPr>
          <w:ilvl w:val="1"/>
          <w:numId w:val="5"/>
        </w:numPr>
        <w:ind w:hanging="851"/>
        <w:jc w:val="both"/>
        <w:rPr>
          <w:rFonts w:cs="Arial"/>
          <w:szCs w:val="24"/>
        </w:rPr>
      </w:pPr>
      <w:r w:rsidRPr="00201441">
        <w:rPr>
          <w:rFonts w:cs="Arial"/>
          <w:szCs w:val="24"/>
        </w:rPr>
        <w:t>On 11</w:t>
      </w:r>
      <w:r w:rsidRPr="00201441">
        <w:rPr>
          <w:rFonts w:cs="Arial"/>
          <w:szCs w:val="24"/>
          <w:vertAlign w:val="superscript"/>
        </w:rPr>
        <w:t>th</w:t>
      </w:r>
      <w:r w:rsidRPr="00201441">
        <w:rPr>
          <w:rFonts w:cs="Arial"/>
          <w:szCs w:val="24"/>
        </w:rPr>
        <w:t xml:space="preserve"> July 2019 Cabinet approved consultation for the local listing of a further 15 parks and gardens in Harrow. </w:t>
      </w:r>
    </w:p>
    <w:p w14:paraId="7EACFBA3" w14:textId="77777777" w:rsidR="00953855" w:rsidRPr="00201441" w:rsidRDefault="00953855" w:rsidP="00953855">
      <w:pPr>
        <w:ind w:left="720"/>
        <w:jc w:val="both"/>
        <w:rPr>
          <w:rFonts w:cs="Arial"/>
          <w:szCs w:val="24"/>
        </w:rPr>
      </w:pPr>
    </w:p>
    <w:p w14:paraId="4D3E8DE1" w14:textId="77777777" w:rsidR="00953855" w:rsidRPr="00201441" w:rsidRDefault="00953855" w:rsidP="008022AB">
      <w:pPr>
        <w:pStyle w:val="Heading2"/>
        <w:keepNext/>
        <w:ind w:left="851" w:hanging="851"/>
        <w:jc w:val="both"/>
        <w:rPr>
          <w:sz w:val="24"/>
          <w:szCs w:val="24"/>
        </w:rPr>
      </w:pPr>
      <w:r w:rsidRPr="00201441">
        <w:rPr>
          <w:sz w:val="24"/>
          <w:szCs w:val="24"/>
        </w:rPr>
        <w:t>4.</w:t>
      </w:r>
      <w:r w:rsidRPr="00201441">
        <w:rPr>
          <w:sz w:val="24"/>
          <w:szCs w:val="24"/>
        </w:rPr>
        <w:tab/>
        <w:t>Current situation</w:t>
      </w:r>
    </w:p>
    <w:p w14:paraId="73D5DFB4" w14:textId="77777777" w:rsidR="00953855" w:rsidRPr="00201441" w:rsidRDefault="00953855" w:rsidP="008022AB">
      <w:pPr>
        <w:keepNext/>
        <w:jc w:val="both"/>
        <w:rPr>
          <w:rFonts w:cs="Arial"/>
          <w:szCs w:val="24"/>
        </w:rPr>
      </w:pPr>
    </w:p>
    <w:p w14:paraId="6EF3FCF7" w14:textId="77777777" w:rsidR="00953855" w:rsidRPr="00201441" w:rsidRDefault="00953855" w:rsidP="00953855">
      <w:pPr>
        <w:ind w:left="851" w:hanging="851"/>
        <w:jc w:val="both"/>
        <w:rPr>
          <w:rFonts w:cs="Arial"/>
          <w:szCs w:val="24"/>
        </w:rPr>
      </w:pPr>
      <w:r w:rsidRPr="00201441">
        <w:rPr>
          <w:rFonts w:cs="Arial"/>
          <w:szCs w:val="24"/>
        </w:rPr>
        <w:t>4.1</w:t>
      </w:r>
      <w:r w:rsidRPr="00201441">
        <w:rPr>
          <w:rFonts w:cs="Arial"/>
          <w:szCs w:val="24"/>
        </w:rPr>
        <w:tab/>
        <w:t>Cabinet agreed for public consultation on the addition of 15 parks and gardens to the local list along with draft accompanying maps and local list descriptions in July 2019 against the local criteria for listing set out below.</w:t>
      </w:r>
    </w:p>
    <w:p w14:paraId="213C843F" w14:textId="77777777" w:rsidR="00953855" w:rsidRPr="00201441" w:rsidRDefault="00953855" w:rsidP="00953855">
      <w:pPr>
        <w:ind w:left="851" w:hanging="851"/>
        <w:jc w:val="both"/>
        <w:rPr>
          <w:rFonts w:cs="Arial"/>
          <w:szCs w:val="24"/>
        </w:rPr>
      </w:pPr>
    </w:p>
    <w:p w14:paraId="29AA29BF" w14:textId="4771803F" w:rsidR="00953855" w:rsidRPr="00201441" w:rsidRDefault="00953855" w:rsidP="00953855">
      <w:pPr>
        <w:ind w:left="851" w:hanging="851"/>
        <w:jc w:val="both"/>
        <w:rPr>
          <w:rFonts w:cs="Arial"/>
          <w:szCs w:val="24"/>
        </w:rPr>
      </w:pPr>
      <w:r w:rsidRPr="00201441">
        <w:rPr>
          <w:rFonts w:cs="Arial"/>
          <w:szCs w:val="24"/>
        </w:rPr>
        <w:t>4.2</w:t>
      </w:r>
      <w:r w:rsidR="002B763E" w:rsidRPr="00201441">
        <w:rPr>
          <w:rFonts w:cs="Arial"/>
          <w:szCs w:val="24"/>
        </w:rPr>
        <w:tab/>
      </w:r>
      <w:r w:rsidRPr="00201441">
        <w:rPr>
          <w:rFonts w:cs="Arial"/>
          <w:szCs w:val="24"/>
        </w:rPr>
        <w:t xml:space="preserve">A locally listed park and garden is a designed landscape which has special historic interest. The designation covers landscapes of various </w:t>
      </w:r>
      <w:r w:rsidRPr="00201441">
        <w:rPr>
          <w:rFonts w:cs="Arial"/>
          <w:szCs w:val="24"/>
        </w:rPr>
        <w:lastRenderedPageBreak/>
        <w:t xml:space="preserve">types and can be in either public or private ownership. The Council keeps a register of such landscapes to help increase awareness of their historic </w:t>
      </w:r>
      <w:r w:rsidR="000A6B6E" w:rsidRPr="00201441">
        <w:rPr>
          <w:rFonts w:cs="Arial"/>
          <w:szCs w:val="24"/>
        </w:rPr>
        <w:t>interest and</w:t>
      </w:r>
      <w:r w:rsidRPr="00201441">
        <w:rPr>
          <w:rFonts w:cs="Arial"/>
          <w:szCs w:val="24"/>
        </w:rPr>
        <w:t xml:space="preserve"> encourage appropriate long-term management and consideration of their importance as a heritage asset in a manner proportionate to their significance through the planning process. They are important to our understanding of the development of </w:t>
      </w:r>
      <w:r w:rsidR="000A6B6E" w:rsidRPr="00201441">
        <w:rPr>
          <w:rFonts w:cs="Arial"/>
          <w:szCs w:val="24"/>
        </w:rPr>
        <w:t>Harrow and</w:t>
      </w:r>
      <w:r w:rsidRPr="00201441">
        <w:rPr>
          <w:rFonts w:cs="Arial"/>
          <w:szCs w:val="24"/>
        </w:rPr>
        <w:t xml:space="preserve"> contribute to local character and distinctiveness. Their significance is however unlikely to warrant statutory listing as a nationally Registered Park and Garden (grade I, II* or II).</w:t>
      </w:r>
    </w:p>
    <w:p w14:paraId="00105B75" w14:textId="77777777" w:rsidR="00953855" w:rsidRPr="00201441" w:rsidRDefault="00953855" w:rsidP="00953855">
      <w:pPr>
        <w:jc w:val="both"/>
        <w:rPr>
          <w:rFonts w:cs="Arial"/>
          <w:szCs w:val="24"/>
        </w:rPr>
      </w:pPr>
    </w:p>
    <w:p w14:paraId="0E914D88" w14:textId="4533B220" w:rsidR="00953855" w:rsidRPr="00201441" w:rsidRDefault="00953855" w:rsidP="00953855">
      <w:pPr>
        <w:ind w:left="851" w:hanging="851"/>
        <w:jc w:val="both"/>
        <w:rPr>
          <w:rFonts w:cs="Arial"/>
          <w:szCs w:val="24"/>
        </w:rPr>
      </w:pPr>
      <w:r w:rsidRPr="00201441">
        <w:rPr>
          <w:rFonts w:cs="Arial"/>
          <w:szCs w:val="24"/>
        </w:rPr>
        <w:t>4.</w:t>
      </w:r>
      <w:r w:rsidR="00F4617D" w:rsidRPr="00201441">
        <w:rPr>
          <w:rFonts w:cs="Arial"/>
          <w:szCs w:val="24"/>
        </w:rPr>
        <w:t>3</w:t>
      </w:r>
      <w:r w:rsidRPr="00201441">
        <w:rPr>
          <w:rFonts w:cs="Arial"/>
          <w:szCs w:val="24"/>
        </w:rPr>
        <w:tab/>
        <w:t>The Harrow Core Strategy (adopted 12th February 2012) states the Strategic Objective 1 for ‘heritage assets – parks and gardens’ is for an ‘up to date list of locally important historic parks and gardens’. Following the addition to the local list of Paines Lane Cemetery and the enhanced local list description for Pinner Memorial Park in 2017, this report continues to fulfil this objective of the Core Strategy by recommending the local listing of a further 15 additional parks and gardens.</w:t>
      </w:r>
    </w:p>
    <w:p w14:paraId="77580C75" w14:textId="77777777" w:rsidR="00953855" w:rsidRPr="00201441" w:rsidRDefault="00953855" w:rsidP="00953855">
      <w:pPr>
        <w:ind w:left="851" w:hanging="851"/>
        <w:jc w:val="both"/>
        <w:rPr>
          <w:rFonts w:cs="Arial"/>
          <w:szCs w:val="24"/>
        </w:rPr>
      </w:pPr>
    </w:p>
    <w:p w14:paraId="07E2D8E4" w14:textId="6B454B31" w:rsidR="00953855" w:rsidRPr="00201441" w:rsidRDefault="00953855" w:rsidP="002B763E">
      <w:pPr>
        <w:keepNext/>
        <w:ind w:left="851" w:hanging="851"/>
        <w:jc w:val="both"/>
        <w:rPr>
          <w:rFonts w:cs="Arial"/>
          <w:i/>
          <w:szCs w:val="24"/>
          <w:u w:val="single"/>
        </w:rPr>
      </w:pPr>
      <w:r w:rsidRPr="00201441">
        <w:rPr>
          <w:rFonts w:cs="Arial"/>
          <w:szCs w:val="24"/>
        </w:rPr>
        <w:t>4.</w:t>
      </w:r>
      <w:r w:rsidR="00F4617D" w:rsidRPr="00201441">
        <w:rPr>
          <w:rFonts w:cs="Arial"/>
          <w:szCs w:val="24"/>
        </w:rPr>
        <w:t>4</w:t>
      </w:r>
      <w:r w:rsidRPr="00201441">
        <w:rPr>
          <w:rFonts w:cs="Arial"/>
          <w:szCs w:val="24"/>
        </w:rPr>
        <w:tab/>
      </w:r>
      <w:r w:rsidRPr="00201441">
        <w:rPr>
          <w:rFonts w:cs="Arial"/>
          <w:i/>
          <w:szCs w:val="24"/>
          <w:u w:val="single"/>
        </w:rPr>
        <w:t>Criteria for listing</w:t>
      </w:r>
    </w:p>
    <w:p w14:paraId="24A751F6" w14:textId="77777777" w:rsidR="00953855" w:rsidRPr="00201441" w:rsidRDefault="00953855" w:rsidP="002B763E">
      <w:pPr>
        <w:keepNext/>
        <w:jc w:val="both"/>
        <w:rPr>
          <w:rFonts w:cs="Arial"/>
          <w:szCs w:val="24"/>
        </w:rPr>
      </w:pPr>
    </w:p>
    <w:p w14:paraId="42000782" w14:textId="5C628146" w:rsidR="00953855" w:rsidRPr="00201441" w:rsidRDefault="00953855" w:rsidP="00953855">
      <w:pPr>
        <w:ind w:left="851" w:hanging="851"/>
        <w:jc w:val="both"/>
        <w:rPr>
          <w:rFonts w:cs="Arial"/>
          <w:szCs w:val="24"/>
        </w:rPr>
      </w:pPr>
      <w:r w:rsidRPr="00201441">
        <w:rPr>
          <w:rFonts w:cs="Arial"/>
          <w:szCs w:val="24"/>
        </w:rPr>
        <w:t>4.</w:t>
      </w:r>
      <w:r w:rsidR="00F4617D" w:rsidRPr="00201441">
        <w:rPr>
          <w:rFonts w:cs="Arial"/>
          <w:szCs w:val="24"/>
        </w:rPr>
        <w:t>5</w:t>
      </w:r>
      <w:r w:rsidRPr="00201441">
        <w:rPr>
          <w:rFonts w:cs="Arial"/>
          <w:szCs w:val="24"/>
        </w:rPr>
        <w:tab/>
        <w:t>Harrow’s criteria for local listing of parks and gardens is based on Historic England’s national criteria for listing but with emphasis placed on the local rather than national context and, as per the local listing of buildings and the designation of conservation areas in the borough, two or more of the suggested criteria need to be met. The criteria are as follows:</w:t>
      </w:r>
    </w:p>
    <w:p w14:paraId="162CE876" w14:textId="77777777" w:rsidR="00953855" w:rsidRPr="00201441" w:rsidRDefault="00953855" w:rsidP="00953855">
      <w:pPr>
        <w:jc w:val="both"/>
        <w:rPr>
          <w:rStyle w:val="A61"/>
          <w:rFonts w:ascii="Arial" w:hAnsi="Arial" w:cs="Arial"/>
          <w:color w:val="auto"/>
          <w:szCs w:val="24"/>
        </w:rPr>
      </w:pPr>
    </w:p>
    <w:p w14:paraId="53DEAF5D" w14:textId="77777777" w:rsidR="00953855" w:rsidRPr="00201441" w:rsidRDefault="00953855" w:rsidP="00953855">
      <w:pPr>
        <w:pStyle w:val="Pa81"/>
        <w:spacing w:line="240" w:lineRule="auto"/>
        <w:ind w:left="1418" w:hanging="567"/>
        <w:jc w:val="both"/>
      </w:pPr>
      <w:r w:rsidRPr="00201441">
        <w:rPr>
          <w:rStyle w:val="A61"/>
          <w:rFonts w:ascii="Arial" w:hAnsi="Arial" w:cs="Arial"/>
          <w:b/>
          <w:color w:val="auto"/>
        </w:rPr>
        <w:t>(A)</w:t>
      </w:r>
      <w:r w:rsidRPr="00201441">
        <w:rPr>
          <w:rStyle w:val="A61"/>
          <w:rFonts w:ascii="Arial" w:hAnsi="Arial" w:cs="Arial"/>
          <w:b/>
          <w:color w:val="auto"/>
        </w:rPr>
        <w:tab/>
        <w:t>Date and rarity.</w:t>
      </w:r>
      <w:r w:rsidRPr="00201441">
        <w:rPr>
          <w:rStyle w:val="A61"/>
          <w:rFonts w:ascii="Arial" w:hAnsi="Arial" w:cs="Arial"/>
          <w:color w:val="auto"/>
        </w:rPr>
        <w:t xml:space="preserve"> </w:t>
      </w:r>
      <w:r w:rsidRPr="00201441">
        <w:rPr>
          <w:rFonts w:ascii="Arial" w:hAnsi="Arial" w:cs="Arial"/>
        </w:rPr>
        <w:t xml:space="preserve">The older a designed landscape is, and the fewer the surviving examples of its kind, the more likely it is to have special interest. Likely to be designated are: </w:t>
      </w:r>
    </w:p>
    <w:p w14:paraId="20FA5AFA" w14:textId="77777777" w:rsidR="00953855" w:rsidRPr="00201441" w:rsidRDefault="00953855" w:rsidP="00953855">
      <w:pPr>
        <w:rPr>
          <w:rFonts w:cs="Arial"/>
          <w:szCs w:val="24"/>
          <w:lang w:eastAsia="en-GB"/>
        </w:rPr>
      </w:pPr>
    </w:p>
    <w:p w14:paraId="3F80FAA4" w14:textId="77777777" w:rsidR="00953855" w:rsidRPr="00201441" w:rsidRDefault="00953855" w:rsidP="00953855">
      <w:pPr>
        <w:pStyle w:val="Pa81"/>
        <w:numPr>
          <w:ilvl w:val="0"/>
          <w:numId w:val="6"/>
        </w:numPr>
        <w:spacing w:line="240" w:lineRule="auto"/>
        <w:ind w:left="1985" w:hanging="567"/>
        <w:jc w:val="both"/>
        <w:rPr>
          <w:rFonts w:ascii="Arial" w:hAnsi="Arial" w:cs="Arial"/>
        </w:rPr>
      </w:pPr>
      <w:r w:rsidRPr="00201441">
        <w:rPr>
          <w:rFonts w:ascii="Arial" w:hAnsi="Arial" w:cs="Arial"/>
        </w:rPr>
        <w:t xml:space="preserve">sites formed before 1750 where at least a proportion of the original layout is still in evidence </w:t>
      </w:r>
    </w:p>
    <w:p w14:paraId="521C4CE7" w14:textId="77777777" w:rsidR="00953855" w:rsidRPr="00201441" w:rsidRDefault="00953855" w:rsidP="00953855">
      <w:pPr>
        <w:pStyle w:val="Pa171"/>
        <w:numPr>
          <w:ilvl w:val="0"/>
          <w:numId w:val="6"/>
        </w:numPr>
        <w:spacing w:line="240" w:lineRule="auto"/>
        <w:ind w:left="1985" w:hanging="567"/>
        <w:jc w:val="both"/>
        <w:rPr>
          <w:rFonts w:ascii="Arial" w:hAnsi="Arial" w:cs="Arial"/>
        </w:rPr>
      </w:pPr>
      <w:r w:rsidRPr="00201441">
        <w:rPr>
          <w:rFonts w:ascii="Arial" w:hAnsi="Arial" w:cs="Arial"/>
        </w:rPr>
        <w:t xml:space="preserve">sites laid out between 1750 and 1840 where enough of the layout survives to reflect the original design </w:t>
      </w:r>
    </w:p>
    <w:p w14:paraId="22BF2644" w14:textId="77777777" w:rsidR="00953855" w:rsidRPr="00201441" w:rsidRDefault="00953855" w:rsidP="00953855">
      <w:pPr>
        <w:pStyle w:val="Pa171"/>
        <w:numPr>
          <w:ilvl w:val="0"/>
          <w:numId w:val="6"/>
        </w:numPr>
        <w:spacing w:line="240" w:lineRule="auto"/>
        <w:ind w:left="1985" w:hanging="567"/>
        <w:jc w:val="both"/>
        <w:rPr>
          <w:rFonts w:ascii="Arial" w:hAnsi="Arial" w:cs="Arial"/>
        </w:rPr>
      </w:pPr>
      <w:r w:rsidRPr="00201441">
        <w:rPr>
          <w:rFonts w:ascii="Arial" w:hAnsi="Arial" w:cs="Arial"/>
        </w:rPr>
        <w:t xml:space="preserve">sites with a main phase of development post-1840 which are of special interest and relatively intact, the degree of required special interest rising as the site becomes closer in time </w:t>
      </w:r>
    </w:p>
    <w:p w14:paraId="1A2BCB35" w14:textId="77777777" w:rsidR="00953855" w:rsidRPr="00201441" w:rsidRDefault="00953855" w:rsidP="00953855">
      <w:pPr>
        <w:pStyle w:val="Pa171"/>
        <w:numPr>
          <w:ilvl w:val="0"/>
          <w:numId w:val="6"/>
        </w:numPr>
        <w:spacing w:line="240" w:lineRule="auto"/>
        <w:ind w:left="1985" w:hanging="567"/>
        <w:jc w:val="both"/>
        <w:rPr>
          <w:rFonts w:ascii="Arial" w:hAnsi="Arial" w:cs="Arial"/>
        </w:rPr>
      </w:pPr>
      <w:r w:rsidRPr="00201441">
        <w:rPr>
          <w:rFonts w:ascii="Arial" w:hAnsi="Arial" w:cs="Arial"/>
        </w:rPr>
        <w:t xml:space="preserve">particularly careful selection is required for sites from the period after 1945 </w:t>
      </w:r>
    </w:p>
    <w:p w14:paraId="1D1F7531" w14:textId="77777777" w:rsidR="00953855" w:rsidRPr="00201441" w:rsidRDefault="00953855" w:rsidP="00953855">
      <w:pPr>
        <w:pStyle w:val="Pa181"/>
        <w:numPr>
          <w:ilvl w:val="0"/>
          <w:numId w:val="6"/>
        </w:numPr>
        <w:spacing w:line="240" w:lineRule="auto"/>
        <w:ind w:left="1985" w:hanging="567"/>
        <w:jc w:val="both"/>
        <w:rPr>
          <w:rFonts w:ascii="Arial" w:hAnsi="Arial" w:cs="Arial"/>
        </w:rPr>
      </w:pPr>
      <w:r w:rsidRPr="00201441">
        <w:rPr>
          <w:rFonts w:ascii="Arial" w:hAnsi="Arial" w:cs="Arial"/>
        </w:rPr>
        <w:t xml:space="preserve">sites of less than 30 years old are normally registered only if they are of outstanding quality and under threat. </w:t>
      </w:r>
    </w:p>
    <w:p w14:paraId="5ADF9079" w14:textId="77777777" w:rsidR="00953855" w:rsidRPr="00201441" w:rsidRDefault="00953855" w:rsidP="00953855">
      <w:pPr>
        <w:jc w:val="both"/>
        <w:rPr>
          <w:rFonts w:cs="Arial"/>
          <w:szCs w:val="24"/>
          <w:lang w:eastAsia="en-GB"/>
        </w:rPr>
      </w:pPr>
    </w:p>
    <w:p w14:paraId="4DB64A39" w14:textId="77777777" w:rsidR="00953855" w:rsidRPr="00201441" w:rsidRDefault="00953855" w:rsidP="00953855">
      <w:pPr>
        <w:ind w:left="1418" w:hanging="567"/>
        <w:jc w:val="both"/>
        <w:rPr>
          <w:rFonts w:cs="Arial"/>
          <w:szCs w:val="24"/>
        </w:rPr>
      </w:pPr>
      <w:r w:rsidRPr="00201441">
        <w:rPr>
          <w:rStyle w:val="A61"/>
          <w:rFonts w:ascii="Arial" w:hAnsi="Arial" w:cs="Arial"/>
          <w:b/>
          <w:color w:val="auto"/>
          <w:sz w:val="24"/>
          <w:szCs w:val="24"/>
        </w:rPr>
        <w:t>(B)</w:t>
      </w:r>
      <w:r w:rsidRPr="00201441">
        <w:rPr>
          <w:rStyle w:val="A61"/>
          <w:rFonts w:ascii="Arial" w:hAnsi="Arial" w:cs="Arial"/>
          <w:b/>
          <w:color w:val="auto"/>
          <w:sz w:val="24"/>
          <w:szCs w:val="24"/>
        </w:rPr>
        <w:tab/>
        <w:t>Further considerations</w:t>
      </w:r>
      <w:r w:rsidRPr="00201441">
        <w:rPr>
          <w:rStyle w:val="A61"/>
          <w:rFonts w:ascii="Arial" w:hAnsi="Arial" w:cs="Arial"/>
          <w:color w:val="auto"/>
          <w:sz w:val="24"/>
          <w:szCs w:val="24"/>
        </w:rPr>
        <w:t xml:space="preserve"> </w:t>
      </w:r>
      <w:r w:rsidRPr="00201441">
        <w:rPr>
          <w:rFonts w:cs="Arial"/>
          <w:szCs w:val="24"/>
        </w:rPr>
        <w:t>which may influence selection, and may exceptionally be sufficient by themselves to merit listing:</w:t>
      </w:r>
    </w:p>
    <w:p w14:paraId="654A457F" w14:textId="77777777" w:rsidR="00953855" w:rsidRPr="00201441" w:rsidRDefault="00953855" w:rsidP="00953855">
      <w:pPr>
        <w:jc w:val="both"/>
        <w:rPr>
          <w:rFonts w:cs="Arial"/>
          <w:szCs w:val="24"/>
        </w:rPr>
      </w:pPr>
    </w:p>
    <w:p w14:paraId="6D58FC57" w14:textId="77777777" w:rsidR="00953855" w:rsidRPr="00201441" w:rsidRDefault="00953855" w:rsidP="00953855">
      <w:pPr>
        <w:numPr>
          <w:ilvl w:val="0"/>
          <w:numId w:val="7"/>
        </w:numPr>
        <w:ind w:left="1985" w:hanging="567"/>
        <w:jc w:val="both"/>
        <w:rPr>
          <w:rFonts w:cs="Arial"/>
          <w:szCs w:val="24"/>
          <w:lang w:eastAsia="en-GB"/>
        </w:rPr>
      </w:pPr>
      <w:r w:rsidRPr="00201441">
        <w:rPr>
          <w:rFonts w:cs="Arial"/>
          <w:szCs w:val="24"/>
          <w:lang w:eastAsia="en-GB"/>
        </w:rPr>
        <w:t xml:space="preserve">Sites which were influential in the development of taste, whether through reputation or reference in literature </w:t>
      </w:r>
    </w:p>
    <w:p w14:paraId="09D58254" w14:textId="77777777" w:rsidR="00953855" w:rsidRPr="00201441" w:rsidRDefault="00953855" w:rsidP="00953855">
      <w:pPr>
        <w:numPr>
          <w:ilvl w:val="0"/>
          <w:numId w:val="7"/>
        </w:numPr>
        <w:ind w:left="1985" w:hanging="567"/>
        <w:jc w:val="both"/>
        <w:rPr>
          <w:rFonts w:cs="Arial"/>
          <w:szCs w:val="24"/>
          <w:lang w:eastAsia="en-GB"/>
        </w:rPr>
      </w:pPr>
      <w:r w:rsidRPr="00201441">
        <w:rPr>
          <w:rFonts w:cs="Arial"/>
          <w:szCs w:val="24"/>
          <w:lang w:eastAsia="en-GB"/>
        </w:rPr>
        <w:t xml:space="preserve">Sites which are early or representative examples of layout or a type of site, or the work of a designer (amateur or professional) of national importance </w:t>
      </w:r>
    </w:p>
    <w:p w14:paraId="5EF59992" w14:textId="77777777" w:rsidR="00953855" w:rsidRPr="00201441" w:rsidRDefault="00953855" w:rsidP="00953855">
      <w:pPr>
        <w:numPr>
          <w:ilvl w:val="0"/>
          <w:numId w:val="7"/>
        </w:numPr>
        <w:ind w:left="1985" w:hanging="567"/>
        <w:jc w:val="both"/>
        <w:rPr>
          <w:rFonts w:cs="Arial"/>
          <w:szCs w:val="24"/>
          <w:lang w:eastAsia="en-GB"/>
        </w:rPr>
      </w:pPr>
      <w:r w:rsidRPr="00201441">
        <w:rPr>
          <w:rFonts w:cs="Arial"/>
          <w:szCs w:val="24"/>
          <w:lang w:eastAsia="en-GB"/>
        </w:rPr>
        <w:lastRenderedPageBreak/>
        <w:t xml:space="preserve">Sites having an association with significant persons or historic events </w:t>
      </w:r>
    </w:p>
    <w:p w14:paraId="0F1153B4" w14:textId="77777777" w:rsidR="00953855" w:rsidRPr="00201441" w:rsidRDefault="00953855" w:rsidP="00953855">
      <w:pPr>
        <w:numPr>
          <w:ilvl w:val="0"/>
          <w:numId w:val="7"/>
        </w:numPr>
        <w:ind w:left="1985" w:hanging="567"/>
        <w:jc w:val="both"/>
        <w:rPr>
          <w:rFonts w:cs="Arial"/>
          <w:szCs w:val="24"/>
          <w:lang w:eastAsia="en-GB"/>
        </w:rPr>
      </w:pPr>
      <w:r w:rsidRPr="00201441">
        <w:rPr>
          <w:rFonts w:cs="Arial"/>
          <w:szCs w:val="24"/>
          <w:lang w:eastAsia="en-GB"/>
        </w:rPr>
        <w:t>Sites with a strong group value with other heritage assets</w:t>
      </w:r>
    </w:p>
    <w:p w14:paraId="26C4D5D1" w14:textId="77777777" w:rsidR="00953855" w:rsidRPr="00201441" w:rsidRDefault="00953855" w:rsidP="00953855">
      <w:pPr>
        <w:jc w:val="both"/>
        <w:rPr>
          <w:rFonts w:cs="Arial"/>
          <w:szCs w:val="24"/>
        </w:rPr>
      </w:pPr>
    </w:p>
    <w:p w14:paraId="684B79F5" w14:textId="77777777" w:rsidR="00953855" w:rsidRPr="00201441" w:rsidRDefault="00953855" w:rsidP="002B763E">
      <w:pPr>
        <w:pStyle w:val="Heading2"/>
        <w:keepNext/>
        <w:ind w:left="851" w:hanging="851"/>
        <w:jc w:val="both"/>
        <w:rPr>
          <w:sz w:val="24"/>
          <w:szCs w:val="24"/>
        </w:rPr>
      </w:pPr>
      <w:r w:rsidRPr="00201441">
        <w:rPr>
          <w:sz w:val="24"/>
          <w:szCs w:val="24"/>
        </w:rPr>
        <w:t>5</w:t>
      </w:r>
      <w:r w:rsidRPr="00201441">
        <w:rPr>
          <w:sz w:val="24"/>
          <w:szCs w:val="24"/>
        </w:rPr>
        <w:tab/>
        <w:t>Consultation arrangements and outcomes</w:t>
      </w:r>
    </w:p>
    <w:p w14:paraId="32928D56" w14:textId="77777777" w:rsidR="00953855" w:rsidRPr="00201441" w:rsidRDefault="00953855" w:rsidP="002B763E">
      <w:pPr>
        <w:keepNext/>
        <w:ind w:left="993" w:hanging="993"/>
        <w:jc w:val="both"/>
        <w:rPr>
          <w:rFonts w:cs="Arial"/>
          <w:szCs w:val="24"/>
        </w:rPr>
      </w:pPr>
    </w:p>
    <w:p w14:paraId="3B44F435" w14:textId="77777777" w:rsidR="00953855" w:rsidRPr="00201441" w:rsidRDefault="00953855" w:rsidP="00953855">
      <w:pPr>
        <w:ind w:left="851" w:hanging="851"/>
        <w:jc w:val="both"/>
        <w:rPr>
          <w:rFonts w:cs="Arial"/>
          <w:szCs w:val="24"/>
        </w:rPr>
      </w:pPr>
      <w:r w:rsidRPr="00201441">
        <w:rPr>
          <w:rFonts w:cs="Arial"/>
          <w:szCs w:val="24"/>
        </w:rPr>
        <w:t>5.1</w:t>
      </w:r>
      <w:r w:rsidRPr="00201441">
        <w:rPr>
          <w:rFonts w:cs="Arial"/>
          <w:szCs w:val="24"/>
        </w:rPr>
        <w:tab/>
        <w:t>Consultation occurred for six weeks from 31</w:t>
      </w:r>
      <w:r w:rsidRPr="00201441">
        <w:rPr>
          <w:rFonts w:cs="Arial"/>
          <w:szCs w:val="24"/>
          <w:vertAlign w:val="superscript"/>
        </w:rPr>
        <w:t>st</w:t>
      </w:r>
      <w:r w:rsidRPr="00201441">
        <w:rPr>
          <w:rFonts w:cs="Arial"/>
          <w:szCs w:val="24"/>
        </w:rPr>
        <w:t xml:space="preserve"> October 2019 to 12</w:t>
      </w:r>
      <w:r w:rsidRPr="00201441">
        <w:rPr>
          <w:rFonts w:cs="Arial"/>
          <w:szCs w:val="24"/>
          <w:vertAlign w:val="superscript"/>
        </w:rPr>
        <w:t>th</w:t>
      </w:r>
      <w:r w:rsidRPr="00201441">
        <w:rPr>
          <w:rFonts w:cs="Arial"/>
          <w:szCs w:val="24"/>
        </w:rPr>
        <w:t xml:space="preserve"> December 2019. The consultation letter provided details of the proposals in relation to the criteria for listing parks and gardens.</w:t>
      </w:r>
    </w:p>
    <w:p w14:paraId="5F597888" w14:textId="77777777" w:rsidR="00953855" w:rsidRPr="00201441" w:rsidRDefault="00953855" w:rsidP="00953855">
      <w:pPr>
        <w:ind w:left="851" w:hanging="851"/>
        <w:jc w:val="both"/>
        <w:rPr>
          <w:rFonts w:cs="Arial"/>
          <w:szCs w:val="24"/>
        </w:rPr>
      </w:pPr>
    </w:p>
    <w:p w14:paraId="0671ED19" w14:textId="77777777" w:rsidR="00953855" w:rsidRPr="00201441" w:rsidRDefault="00953855" w:rsidP="00953855">
      <w:pPr>
        <w:ind w:left="851" w:hanging="851"/>
        <w:jc w:val="both"/>
        <w:rPr>
          <w:rFonts w:cs="Arial"/>
          <w:szCs w:val="24"/>
        </w:rPr>
      </w:pPr>
      <w:r w:rsidRPr="00201441">
        <w:rPr>
          <w:rFonts w:cs="Arial"/>
          <w:szCs w:val="24"/>
        </w:rPr>
        <w:t>5.2</w:t>
      </w:r>
      <w:r w:rsidRPr="00201441">
        <w:rPr>
          <w:rFonts w:cs="Arial"/>
          <w:szCs w:val="24"/>
        </w:rPr>
        <w:tab/>
        <w:t>Notification letters were sent to the Gardens Trust, the Conservation Area Advisory Committee, the Pinner Local History Society, the Pinner Association, the Georgian Group, the Victorian Society, The Twentieth Century Society, London and Middlesex Archaeological Society and Historic England. An advert was placed in the local paper and site notices put up on entranceways and within the parks. The document was available to view on the Council’s website.</w:t>
      </w:r>
    </w:p>
    <w:p w14:paraId="5BA19CF1" w14:textId="77777777" w:rsidR="00953855" w:rsidRPr="00201441" w:rsidRDefault="00953855" w:rsidP="00953855">
      <w:pPr>
        <w:ind w:left="851" w:hanging="851"/>
        <w:jc w:val="both"/>
        <w:rPr>
          <w:rFonts w:cs="Arial"/>
          <w:szCs w:val="24"/>
        </w:rPr>
      </w:pPr>
    </w:p>
    <w:p w14:paraId="620EA09E" w14:textId="579DDBB4" w:rsidR="00953855" w:rsidRPr="00201441" w:rsidRDefault="00953855" w:rsidP="00953855">
      <w:pPr>
        <w:ind w:left="851" w:hanging="851"/>
        <w:jc w:val="both"/>
        <w:rPr>
          <w:rFonts w:cs="Arial"/>
          <w:szCs w:val="24"/>
        </w:rPr>
      </w:pPr>
      <w:r w:rsidRPr="00201441">
        <w:rPr>
          <w:rFonts w:cs="Arial"/>
          <w:szCs w:val="24"/>
        </w:rPr>
        <w:t>5.3</w:t>
      </w:r>
      <w:r w:rsidRPr="00201441">
        <w:rPr>
          <w:rFonts w:cs="Arial"/>
          <w:szCs w:val="24"/>
        </w:rPr>
        <w:tab/>
        <w:t xml:space="preserve">The consultation responses and how these have been addressed in finalising the proposals, are summarised </w:t>
      </w:r>
      <w:r w:rsidR="00146794" w:rsidRPr="00201441">
        <w:rPr>
          <w:rFonts w:cs="Arial"/>
          <w:szCs w:val="24"/>
        </w:rPr>
        <w:t xml:space="preserve">in </w:t>
      </w:r>
      <w:r w:rsidR="002B763E" w:rsidRPr="00201441">
        <w:rPr>
          <w:rFonts w:cs="Arial"/>
          <w:szCs w:val="24"/>
        </w:rPr>
        <w:t>A</w:t>
      </w:r>
      <w:r w:rsidR="00146794" w:rsidRPr="00201441">
        <w:rPr>
          <w:rFonts w:cs="Arial"/>
          <w:szCs w:val="24"/>
        </w:rPr>
        <w:t>ppendix 1</w:t>
      </w:r>
      <w:r w:rsidRPr="00201441">
        <w:rPr>
          <w:rFonts w:cs="Arial"/>
          <w:szCs w:val="24"/>
        </w:rPr>
        <w:t xml:space="preserve">, </w:t>
      </w:r>
      <w:r w:rsidR="00146794" w:rsidRPr="00201441">
        <w:rPr>
          <w:rFonts w:cs="Arial"/>
          <w:szCs w:val="24"/>
        </w:rPr>
        <w:t xml:space="preserve">including </w:t>
      </w:r>
      <w:r w:rsidRPr="00201441">
        <w:rPr>
          <w:rFonts w:cs="Arial"/>
          <w:szCs w:val="24"/>
        </w:rPr>
        <w:t xml:space="preserve">more </w:t>
      </w:r>
      <w:r w:rsidR="00795417" w:rsidRPr="00201441">
        <w:rPr>
          <w:rFonts w:cs="Arial"/>
          <w:szCs w:val="24"/>
        </w:rPr>
        <w:t>detailed</w:t>
      </w:r>
      <w:r w:rsidRPr="00201441">
        <w:rPr>
          <w:rFonts w:cs="Arial"/>
          <w:szCs w:val="24"/>
        </w:rPr>
        <w:t xml:space="preserve"> coverage of the objections from 1</w:t>
      </w:r>
      <w:r w:rsidR="007918CD" w:rsidRPr="00201441">
        <w:rPr>
          <w:rFonts w:cs="Arial"/>
          <w:szCs w:val="24"/>
        </w:rPr>
        <w:t>2</w:t>
      </w:r>
      <w:r w:rsidRPr="00201441">
        <w:rPr>
          <w:rFonts w:cs="Arial"/>
          <w:szCs w:val="24"/>
        </w:rPr>
        <w:t xml:space="preserve"> consultees.</w:t>
      </w:r>
    </w:p>
    <w:p w14:paraId="4DEA8C28" w14:textId="77777777" w:rsidR="00953855" w:rsidRPr="00201441" w:rsidRDefault="00953855" w:rsidP="00953855">
      <w:pPr>
        <w:ind w:left="709" w:hanging="709"/>
        <w:jc w:val="both"/>
        <w:rPr>
          <w:rFonts w:cs="Arial"/>
          <w:szCs w:val="24"/>
        </w:rPr>
      </w:pPr>
    </w:p>
    <w:p w14:paraId="3A0FB4AC" w14:textId="77777777" w:rsidR="00953855" w:rsidRPr="00201441" w:rsidRDefault="00953855" w:rsidP="002B763E">
      <w:pPr>
        <w:pStyle w:val="Heading2"/>
        <w:keepNext/>
        <w:ind w:left="851" w:hanging="851"/>
        <w:jc w:val="both"/>
        <w:rPr>
          <w:sz w:val="24"/>
          <w:szCs w:val="24"/>
        </w:rPr>
      </w:pPr>
      <w:r w:rsidRPr="00201441">
        <w:rPr>
          <w:sz w:val="24"/>
          <w:szCs w:val="24"/>
        </w:rPr>
        <w:t>6.</w:t>
      </w:r>
      <w:r w:rsidRPr="00201441">
        <w:rPr>
          <w:sz w:val="24"/>
          <w:szCs w:val="24"/>
        </w:rPr>
        <w:tab/>
        <w:t>Implications of the Recommendations</w:t>
      </w:r>
    </w:p>
    <w:p w14:paraId="0792F1AC" w14:textId="77777777" w:rsidR="00953855" w:rsidRPr="00201441" w:rsidRDefault="00953855" w:rsidP="002B763E">
      <w:pPr>
        <w:pStyle w:val="Heading3"/>
        <w:keepNext/>
        <w:rPr>
          <w:sz w:val="24"/>
          <w:szCs w:val="24"/>
        </w:rPr>
      </w:pPr>
    </w:p>
    <w:p w14:paraId="2B4DF607" w14:textId="77777777" w:rsidR="00953855" w:rsidRPr="00201441" w:rsidRDefault="00953855" w:rsidP="002B763E">
      <w:pPr>
        <w:keepNext/>
        <w:ind w:left="851"/>
        <w:jc w:val="both"/>
        <w:rPr>
          <w:rFonts w:cs="Arial"/>
          <w:i/>
          <w:szCs w:val="24"/>
          <w:u w:val="single"/>
        </w:rPr>
      </w:pPr>
      <w:r w:rsidRPr="00201441">
        <w:rPr>
          <w:rFonts w:cs="Arial"/>
          <w:i/>
          <w:szCs w:val="24"/>
          <w:u w:val="single"/>
        </w:rPr>
        <w:t xml:space="preserve">Local Listing </w:t>
      </w:r>
    </w:p>
    <w:p w14:paraId="68E43A44" w14:textId="77777777" w:rsidR="00953855" w:rsidRPr="00201441" w:rsidRDefault="00953855" w:rsidP="002B763E">
      <w:pPr>
        <w:keepNext/>
        <w:jc w:val="both"/>
        <w:rPr>
          <w:rFonts w:cs="Arial"/>
          <w:szCs w:val="24"/>
          <w:u w:val="single"/>
        </w:rPr>
      </w:pPr>
    </w:p>
    <w:p w14:paraId="68E8C392" w14:textId="25930AF8" w:rsidR="00F4617D" w:rsidRPr="00201441" w:rsidRDefault="00953855" w:rsidP="00CC38EB">
      <w:pPr>
        <w:ind w:left="851" w:hanging="851"/>
        <w:jc w:val="both"/>
        <w:rPr>
          <w:rFonts w:cs="Arial"/>
          <w:szCs w:val="24"/>
        </w:rPr>
      </w:pPr>
      <w:r w:rsidRPr="00201441">
        <w:rPr>
          <w:rFonts w:cs="Arial"/>
          <w:szCs w:val="24"/>
        </w:rPr>
        <w:t>6.1</w:t>
      </w:r>
      <w:r w:rsidRPr="00201441">
        <w:rPr>
          <w:rFonts w:cs="Arial"/>
          <w:szCs w:val="24"/>
        </w:rPr>
        <w:tab/>
        <w:t xml:space="preserve">The inclusion of an area on the Local List does not change the existing planning controls that already apply. Inclusion on the Local List is also not primarily intended to restrict </w:t>
      </w:r>
      <w:r w:rsidR="000A6B6E" w:rsidRPr="00201441">
        <w:rPr>
          <w:rFonts w:cs="Arial"/>
          <w:szCs w:val="24"/>
        </w:rPr>
        <w:t>development but</w:t>
      </w:r>
      <w:r w:rsidRPr="00201441">
        <w:rPr>
          <w:rFonts w:cs="Arial"/>
          <w:szCs w:val="24"/>
        </w:rPr>
        <w:t xml:space="preserve"> seeks to ensure that any proposals take into consideration the local significance of the area. The only real implication therefore of including a building, structure or park / garden on the Local List is that it will change the level of consideration given by the Local Planning Authority to preserving the area’s character and appearance when planning proposals are assessed. Any proposals put forward are expected to respect the particular character and interest of the area.</w:t>
      </w:r>
      <w:r w:rsidR="00F4617D" w:rsidRPr="00201441">
        <w:rPr>
          <w:rFonts w:cs="Arial"/>
          <w:szCs w:val="24"/>
        </w:rPr>
        <w:t xml:space="preserve"> T</w:t>
      </w:r>
      <w:r w:rsidR="00F4617D" w:rsidRPr="00201441">
        <w:t>he effect of designation as a locally-listed heritage asset will mean, in decision making, that the effect of an application on the significance of the asset will be considered as a material consideration.</w:t>
      </w:r>
    </w:p>
    <w:p w14:paraId="7F86C093" w14:textId="77777777" w:rsidR="00953855" w:rsidRPr="00201441" w:rsidRDefault="00953855" w:rsidP="00953855">
      <w:pPr>
        <w:jc w:val="both"/>
        <w:rPr>
          <w:rFonts w:cs="Arial"/>
          <w:szCs w:val="24"/>
        </w:rPr>
      </w:pPr>
    </w:p>
    <w:p w14:paraId="6F96D623" w14:textId="77777777" w:rsidR="00953855" w:rsidRPr="00201441" w:rsidRDefault="00953855" w:rsidP="002B763E">
      <w:pPr>
        <w:keepNext/>
        <w:ind w:left="851"/>
        <w:jc w:val="both"/>
        <w:rPr>
          <w:rFonts w:cs="Arial"/>
          <w:i/>
          <w:szCs w:val="24"/>
          <w:u w:val="single"/>
        </w:rPr>
      </w:pPr>
      <w:r w:rsidRPr="00201441">
        <w:rPr>
          <w:rFonts w:cs="Arial"/>
          <w:i/>
          <w:szCs w:val="24"/>
          <w:u w:val="single"/>
        </w:rPr>
        <w:t>Enhanced Local List Description</w:t>
      </w:r>
    </w:p>
    <w:p w14:paraId="08A1FDF8" w14:textId="77777777" w:rsidR="00953855" w:rsidRPr="00201441" w:rsidRDefault="00953855" w:rsidP="002B763E">
      <w:pPr>
        <w:keepNext/>
        <w:jc w:val="both"/>
        <w:rPr>
          <w:rFonts w:cs="Arial"/>
          <w:szCs w:val="24"/>
          <w:u w:val="single"/>
        </w:rPr>
      </w:pPr>
    </w:p>
    <w:p w14:paraId="4998D34F" w14:textId="77777777" w:rsidR="00953855" w:rsidRPr="00201441" w:rsidRDefault="00953855" w:rsidP="00953855">
      <w:pPr>
        <w:ind w:left="851" w:hanging="851"/>
        <w:jc w:val="both"/>
        <w:rPr>
          <w:rFonts w:cs="Arial"/>
          <w:szCs w:val="24"/>
        </w:rPr>
      </w:pPr>
      <w:r w:rsidRPr="00201441">
        <w:rPr>
          <w:rFonts w:cs="Arial"/>
          <w:szCs w:val="24"/>
        </w:rPr>
        <w:t>6.2</w:t>
      </w:r>
      <w:r w:rsidRPr="00201441">
        <w:rPr>
          <w:rFonts w:cs="Arial"/>
          <w:szCs w:val="24"/>
        </w:rPr>
        <w:tab/>
        <w:t>The enhanced local list description provides greater clarity on the area’s significance which clarifies the level of protection that it should best be afforded.</w:t>
      </w:r>
    </w:p>
    <w:p w14:paraId="06EF4ABB" w14:textId="77777777" w:rsidR="00953855" w:rsidRPr="00201441" w:rsidRDefault="00953855" w:rsidP="00953855">
      <w:pPr>
        <w:jc w:val="both"/>
        <w:rPr>
          <w:rFonts w:cs="Arial"/>
          <w:szCs w:val="24"/>
        </w:rPr>
      </w:pPr>
    </w:p>
    <w:p w14:paraId="251290EC" w14:textId="77777777" w:rsidR="00953855" w:rsidRPr="00201441" w:rsidRDefault="00953855" w:rsidP="002B763E">
      <w:pPr>
        <w:pStyle w:val="Heading2"/>
        <w:keepNext/>
        <w:ind w:left="851" w:hanging="851"/>
        <w:jc w:val="both"/>
        <w:rPr>
          <w:sz w:val="24"/>
          <w:szCs w:val="24"/>
        </w:rPr>
      </w:pPr>
      <w:r w:rsidRPr="00201441">
        <w:rPr>
          <w:sz w:val="24"/>
          <w:szCs w:val="24"/>
        </w:rPr>
        <w:t>7.</w:t>
      </w:r>
      <w:r w:rsidRPr="00201441">
        <w:rPr>
          <w:sz w:val="24"/>
          <w:szCs w:val="24"/>
        </w:rPr>
        <w:tab/>
        <w:t>Risk Management Implications</w:t>
      </w:r>
    </w:p>
    <w:p w14:paraId="544E6EEC" w14:textId="77777777" w:rsidR="00953855" w:rsidRPr="00201441" w:rsidRDefault="00953855" w:rsidP="002B763E">
      <w:pPr>
        <w:keepNext/>
        <w:jc w:val="both"/>
        <w:rPr>
          <w:rFonts w:cs="Arial"/>
          <w:szCs w:val="24"/>
        </w:rPr>
      </w:pPr>
    </w:p>
    <w:p w14:paraId="60022E9F" w14:textId="3B61AB9A" w:rsidR="00953855" w:rsidRPr="00201441" w:rsidRDefault="00953855" w:rsidP="002B763E">
      <w:pPr>
        <w:keepNext/>
        <w:ind w:left="851"/>
        <w:jc w:val="both"/>
        <w:rPr>
          <w:rFonts w:cs="Arial"/>
          <w:szCs w:val="24"/>
        </w:rPr>
      </w:pPr>
      <w:r w:rsidRPr="00201441">
        <w:rPr>
          <w:rFonts w:cs="Arial"/>
          <w:szCs w:val="24"/>
        </w:rPr>
        <w:t xml:space="preserve">Rick included on </w:t>
      </w:r>
      <w:r w:rsidRPr="00201441">
        <w:rPr>
          <w:rFonts w:cs="Arial"/>
          <w:szCs w:val="24"/>
          <w:lang w:val="en-US"/>
        </w:rPr>
        <w:t xml:space="preserve">corporate or directorate </w:t>
      </w:r>
      <w:r w:rsidRPr="00201441">
        <w:rPr>
          <w:rFonts w:cs="Arial"/>
          <w:szCs w:val="24"/>
        </w:rPr>
        <w:t>risk register? No</w:t>
      </w:r>
    </w:p>
    <w:p w14:paraId="4EC37043" w14:textId="77777777" w:rsidR="00953855" w:rsidRPr="00201441" w:rsidRDefault="00953855" w:rsidP="00953855">
      <w:pPr>
        <w:ind w:left="851"/>
        <w:jc w:val="both"/>
        <w:rPr>
          <w:rFonts w:cs="Arial"/>
          <w:szCs w:val="24"/>
        </w:rPr>
      </w:pPr>
    </w:p>
    <w:p w14:paraId="3AB6A6C3" w14:textId="77777777" w:rsidR="00953855" w:rsidRPr="00201441" w:rsidRDefault="00953855" w:rsidP="00953855">
      <w:pPr>
        <w:ind w:left="851"/>
        <w:jc w:val="both"/>
        <w:rPr>
          <w:rFonts w:cs="Arial"/>
          <w:szCs w:val="24"/>
        </w:rPr>
      </w:pPr>
      <w:r w:rsidRPr="00201441">
        <w:rPr>
          <w:rFonts w:cs="Arial"/>
          <w:szCs w:val="24"/>
        </w:rPr>
        <w:t>Separate risk register in place? No</w:t>
      </w:r>
    </w:p>
    <w:p w14:paraId="0C285A50" w14:textId="77777777" w:rsidR="00953855" w:rsidRPr="00201441" w:rsidRDefault="00953855" w:rsidP="00953855">
      <w:pPr>
        <w:ind w:left="851"/>
        <w:jc w:val="both"/>
        <w:rPr>
          <w:rFonts w:cs="Arial"/>
          <w:szCs w:val="24"/>
        </w:rPr>
      </w:pPr>
    </w:p>
    <w:p w14:paraId="4F367B7B" w14:textId="7C533F9A" w:rsidR="00953855" w:rsidRPr="00201441" w:rsidRDefault="00953855" w:rsidP="002B763E">
      <w:pPr>
        <w:tabs>
          <w:tab w:val="left" w:pos="5610"/>
        </w:tabs>
        <w:ind w:right="81"/>
      </w:pPr>
      <w:bookmarkStart w:id="1" w:name="_Hlk60923477"/>
      <w:bookmarkStart w:id="2" w:name="_Hlk60922991"/>
      <w:bookmarkStart w:id="3" w:name="_Hlk60923939"/>
      <w:r w:rsidRPr="00201441">
        <w:t xml:space="preserve">The relevant risks contained in the register are attached/summarised below. </w:t>
      </w:r>
      <w:r w:rsidR="002B763E" w:rsidRPr="00201441">
        <w:t xml:space="preserve"> T</w:t>
      </w:r>
      <w:r w:rsidRPr="00201441">
        <w:t>he</w:t>
      </w:r>
      <w:r w:rsidR="002B763E" w:rsidRPr="00201441">
        <w:t xml:space="preserve">se </w:t>
      </w:r>
      <w:r w:rsidRPr="00201441">
        <w:t>key risks should be taken into account when agreeing the recommendations in this report:</w:t>
      </w:r>
    </w:p>
    <w:p w14:paraId="782BF02D" w14:textId="77777777" w:rsidR="00953855" w:rsidRPr="00201441" w:rsidRDefault="00953855" w:rsidP="00953855">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4106"/>
        <w:gridCol w:w="2977"/>
        <w:gridCol w:w="1552"/>
      </w:tblGrid>
      <w:tr w:rsidR="00201441" w:rsidRPr="00201441" w14:paraId="26FDDAF0" w14:textId="77777777" w:rsidTr="002B763E">
        <w:trPr>
          <w:tblHeader/>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48A9EE06" w14:textId="77777777" w:rsidR="00953855" w:rsidRPr="00201441" w:rsidRDefault="00953855" w:rsidP="002B763E">
            <w:pPr>
              <w:spacing w:line="247" w:lineRule="auto"/>
              <w:ind w:right="141"/>
              <w:jc w:val="center"/>
              <w:rPr>
                <w:rFonts w:cs="Arial"/>
                <w:b/>
                <w:bCs/>
                <w:szCs w:val="24"/>
                <w:lang w:val="en-US" w:eastAsia="en-GB"/>
              </w:rPr>
            </w:pPr>
            <w:r w:rsidRPr="00201441">
              <w:rPr>
                <w:rFonts w:cs="Arial"/>
                <w:b/>
                <w:bCs/>
                <w:szCs w:val="24"/>
                <w:lang w:val="en-US" w:eastAsia="en-GB"/>
              </w:rPr>
              <w:t>Risk Description</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D49CD" w14:textId="77777777" w:rsidR="00953855" w:rsidRPr="00201441" w:rsidRDefault="00953855" w:rsidP="002B763E">
            <w:pPr>
              <w:spacing w:line="247" w:lineRule="auto"/>
              <w:ind w:right="141"/>
              <w:jc w:val="center"/>
              <w:rPr>
                <w:rFonts w:cs="Arial"/>
                <w:b/>
                <w:bCs/>
                <w:szCs w:val="24"/>
                <w:lang w:val="en-US" w:eastAsia="en-GB"/>
              </w:rPr>
            </w:pPr>
            <w:r w:rsidRPr="00201441">
              <w:rPr>
                <w:rFonts w:cs="Arial"/>
                <w:b/>
                <w:bCs/>
                <w:szCs w:val="24"/>
                <w:lang w:val="en-US" w:eastAsia="en-GB"/>
              </w:rPr>
              <w:t>Mitigations</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0A50D59" w14:textId="77777777" w:rsidR="00953855" w:rsidRPr="00201441" w:rsidRDefault="00953855" w:rsidP="002B763E">
            <w:pPr>
              <w:spacing w:line="247" w:lineRule="auto"/>
              <w:ind w:left="171" w:right="141"/>
              <w:jc w:val="center"/>
              <w:rPr>
                <w:rFonts w:cs="Arial"/>
                <w:b/>
                <w:bCs/>
                <w:szCs w:val="24"/>
                <w:lang w:val="en-US" w:eastAsia="en-GB"/>
              </w:rPr>
            </w:pPr>
            <w:r w:rsidRPr="00201441">
              <w:rPr>
                <w:rFonts w:cs="Arial"/>
                <w:b/>
                <w:bCs/>
                <w:szCs w:val="24"/>
                <w:lang w:val="en-US" w:eastAsia="en-GB"/>
              </w:rPr>
              <w:t>RAG Status</w:t>
            </w:r>
          </w:p>
        </w:tc>
      </w:tr>
      <w:tr w:rsidR="00201441" w:rsidRPr="00201441" w14:paraId="48373E6A" w14:textId="77777777" w:rsidTr="000A6B6E">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4E73A" w14:textId="63938F33" w:rsidR="00953855" w:rsidRPr="00201441" w:rsidRDefault="00286331" w:rsidP="0052240E">
            <w:pPr>
              <w:ind w:left="22" w:right="188"/>
              <w:jc w:val="both"/>
              <w:rPr>
                <w:rFonts w:cs="Arial"/>
                <w:szCs w:val="24"/>
                <w:lang w:val="en-US" w:eastAsia="en-GB"/>
              </w:rPr>
            </w:pPr>
            <w:r w:rsidRPr="00201441">
              <w:rPr>
                <w:rFonts w:cs="Arial"/>
                <w:szCs w:val="24"/>
                <w:lang w:val="en-US" w:eastAsia="en-GB"/>
              </w:rPr>
              <w:t xml:space="preserve">Not making the recommendation would </w:t>
            </w:r>
            <w:r w:rsidRPr="00201441">
              <w:rPr>
                <w:rFonts w:cs="Arial"/>
                <w:szCs w:val="24"/>
              </w:rPr>
              <w:t>would mean the Council’s recognition of heritage assets would not be up to date. This would undermine the integrity of the list by potentially putting assets at risk if they are not identified as locally important where appropriate. It would also risk the Council not meeting its statutory responsibilities with respect to heritage assets within the borough.</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36762" w14:textId="061C58CB" w:rsidR="00953855" w:rsidRPr="00201441" w:rsidRDefault="00286331" w:rsidP="00953855">
            <w:pPr>
              <w:pStyle w:val="ListParagraph"/>
              <w:numPr>
                <w:ilvl w:val="0"/>
                <w:numId w:val="2"/>
              </w:numPr>
              <w:suppressAutoHyphens/>
              <w:autoSpaceDN w:val="0"/>
              <w:spacing w:line="247" w:lineRule="auto"/>
              <w:ind w:left="171" w:right="141" w:hanging="171"/>
              <w:rPr>
                <w:szCs w:val="24"/>
                <w:lang w:val="en-US"/>
              </w:rPr>
            </w:pPr>
            <w:r w:rsidRPr="00201441">
              <w:rPr>
                <w:szCs w:val="24"/>
                <w:lang w:val="en-US"/>
              </w:rPr>
              <w:t>Mitigated by making the recommendation to designate locally listed parks and gardens.</w:t>
            </w:r>
          </w:p>
        </w:tc>
        <w:tc>
          <w:tcPr>
            <w:tcW w:w="1552" w:type="dxa"/>
            <w:tcBorders>
              <w:top w:val="single" w:sz="4" w:space="0" w:color="000000"/>
              <w:left w:val="single" w:sz="4" w:space="0" w:color="000000"/>
              <w:bottom w:val="single" w:sz="4" w:space="0" w:color="000000"/>
              <w:right w:val="single" w:sz="4" w:space="0" w:color="000000"/>
            </w:tcBorders>
            <w:shd w:val="clear" w:color="auto" w:fill="9BBB59" w:themeFill="accent3"/>
            <w:hideMark/>
          </w:tcPr>
          <w:p w14:paraId="5AB761FE" w14:textId="011851AC" w:rsidR="00953855" w:rsidRPr="00201441" w:rsidRDefault="00953855" w:rsidP="00E505F5">
            <w:pPr>
              <w:spacing w:line="247" w:lineRule="auto"/>
              <w:ind w:left="171" w:right="141"/>
              <w:rPr>
                <w:rFonts w:cs="Arial"/>
                <w:szCs w:val="24"/>
                <w:lang w:val="en-US" w:eastAsia="en-GB"/>
              </w:rPr>
            </w:pPr>
            <w:r w:rsidRPr="00201441">
              <w:rPr>
                <w:rFonts w:cs="Arial"/>
                <w:szCs w:val="24"/>
                <w:lang w:val="en-US" w:eastAsia="en-GB"/>
              </w:rPr>
              <w:t xml:space="preserve">Green </w:t>
            </w:r>
          </w:p>
        </w:tc>
      </w:tr>
      <w:tr w:rsidR="00201441" w:rsidRPr="00201441" w14:paraId="6B8D23F3" w14:textId="77777777" w:rsidTr="000A6B6E">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24CFE" w14:textId="1D01E278" w:rsidR="00286331" w:rsidRPr="00201441" w:rsidRDefault="00286331" w:rsidP="00286331">
            <w:pPr>
              <w:spacing w:line="247" w:lineRule="auto"/>
              <w:ind w:right="141"/>
              <w:rPr>
                <w:rFonts w:cs="Arial"/>
                <w:szCs w:val="24"/>
                <w:lang w:val="en-US" w:eastAsia="en-GB"/>
              </w:rPr>
            </w:pPr>
            <w:r w:rsidRPr="00201441">
              <w:rPr>
                <w:rFonts w:cs="Arial"/>
                <w:szCs w:val="24"/>
                <w:lang w:val="en-US" w:eastAsia="en-GB"/>
              </w:rPr>
              <w:t>Objections to designating some of the locally listed parks and gardens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8C34" w14:textId="4552D05F" w:rsidR="00286331" w:rsidRPr="00201441" w:rsidRDefault="00286331" w:rsidP="002B763E">
            <w:pPr>
              <w:pStyle w:val="ListParagraph"/>
              <w:numPr>
                <w:ilvl w:val="0"/>
                <w:numId w:val="2"/>
              </w:numPr>
              <w:suppressAutoHyphens/>
              <w:autoSpaceDN w:val="0"/>
              <w:spacing w:line="247" w:lineRule="auto"/>
              <w:ind w:left="171" w:right="141" w:hanging="171"/>
              <w:rPr>
                <w:szCs w:val="24"/>
                <w:lang w:val="en-US"/>
              </w:rPr>
            </w:pPr>
            <w:r w:rsidRPr="00201441">
              <w:rPr>
                <w:szCs w:val="24"/>
                <w:lang w:val="en-US"/>
              </w:rPr>
              <w:t>Thorough consultation has been undertaken and objections addressed above</w:t>
            </w:r>
          </w:p>
        </w:tc>
        <w:tc>
          <w:tcPr>
            <w:tcW w:w="1552"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0189EB4" w14:textId="4ADFBC15" w:rsidR="00286331" w:rsidRPr="00201441" w:rsidRDefault="00286331" w:rsidP="00286331">
            <w:pPr>
              <w:spacing w:line="247" w:lineRule="auto"/>
              <w:ind w:right="141"/>
              <w:rPr>
                <w:rFonts w:cs="Arial"/>
                <w:szCs w:val="24"/>
                <w:lang w:val="en-US" w:eastAsia="en-GB"/>
              </w:rPr>
            </w:pPr>
            <w:r w:rsidRPr="00201441">
              <w:rPr>
                <w:rFonts w:cs="Arial"/>
                <w:szCs w:val="24"/>
                <w:lang w:val="en-US" w:eastAsia="en-GB"/>
              </w:rPr>
              <w:t>Green</w:t>
            </w:r>
          </w:p>
        </w:tc>
      </w:tr>
      <w:tr w:rsidR="00286331" w:rsidRPr="00201441" w14:paraId="7739D9B3" w14:textId="77777777" w:rsidTr="000A6B6E">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E2C5B" w14:textId="52DF7F0A" w:rsidR="00286331" w:rsidRPr="00201441" w:rsidRDefault="00286331" w:rsidP="00286331">
            <w:pPr>
              <w:spacing w:line="247" w:lineRule="auto"/>
              <w:ind w:right="141"/>
              <w:rPr>
                <w:rFonts w:cs="Arial"/>
                <w:szCs w:val="24"/>
                <w:lang w:val="en-US" w:eastAsia="en-GB"/>
              </w:rPr>
            </w:pPr>
            <w:r w:rsidRPr="00201441">
              <w:rPr>
                <w:rFonts w:cs="Arial"/>
                <w:szCs w:val="24"/>
                <w:lang w:val="en-US" w:eastAsia="en-GB"/>
              </w:rPr>
              <w:t>Not having designated all parks and gardens at this stage.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89C31" w14:textId="4F0647E7" w:rsidR="00286331" w:rsidRPr="00201441" w:rsidRDefault="00286331" w:rsidP="00286331">
            <w:pPr>
              <w:pStyle w:val="ListParagraph"/>
              <w:numPr>
                <w:ilvl w:val="0"/>
                <w:numId w:val="2"/>
              </w:numPr>
              <w:suppressAutoHyphens/>
              <w:autoSpaceDN w:val="0"/>
              <w:spacing w:line="247" w:lineRule="auto"/>
              <w:ind w:left="171" w:right="141" w:hanging="171"/>
              <w:rPr>
                <w:szCs w:val="24"/>
                <w:lang w:val="en-US"/>
              </w:rPr>
            </w:pPr>
            <w:r w:rsidRPr="00201441">
              <w:rPr>
                <w:szCs w:val="24"/>
                <w:lang w:val="en-US"/>
              </w:rPr>
              <w:t>The issue will be under constant review.</w:t>
            </w:r>
          </w:p>
        </w:tc>
        <w:tc>
          <w:tcPr>
            <w:tcW w:w="1552"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5ECC476" w14:textId="75EBB0BF" w:rsidR="00286331" w:rsidRPr="00201441" w:rsidRDefault="00286331" w:rsidP="00286331">
            <w:pPr>
              <w:spacing w:line="247" w:lineRule="auto"/>
              <w:ind w:right="141"/>
              <w:rPr>
                <w:rFonts w:cs="Arial"/>
                <w:szCs w:val="24"/>
                <w:lang w:val="en-US" w:eastAsia="en-GB"/>
              </w:rPr>
            </w:pPr>
            <w:r w:rsidRPr="00201441">
              <w:rPr>
                <w:rFonts w:cs="Arial"/>
                <w:szCs w:val="24"/>
                <w:lang w:val="en-US" w:eastAsia="en-GB"/>
              </w:rPr>
              <w:t>Green</w:t>
            </w:r>
          </w:p>
        </w:tc>
      </w:tr>
      <w:bookmarkEnd w:id="2"/>
      <w:bookmarkEnd w:id="3"/>
    </w:tbl>
    <w:p w14:paraId="60029C15" w14:textId="77777777" w:rsidR="00953855" w:rsidRPr="00201441" w:rsidRDefault="00953855" w:rsidP="00953855"/>
    <w:p w14:paraId="5589D364" w14:textId="77777777" w:rsidR="00953855" w:rsidRPr="00201441" w:rsidRDefault="00953855" w:rsidP="002B763E">
      <w:pPr>
        <w:pStyle w:val="Heading2"/>
        <w:keepNext/>
        <w:ind w:left="851" w:hanging="851"/>
        <w:jc w:val="both"/>
        <w:rPr>
          <w:sz w:val="24"/>
          <w:szCs w:val="24"/>
        </w:rPr>
      </w:pPr>
      <w:r w:rsidRPr="00201441">
        <w:rPr>
          <w:sz w:val="24"/>
          <w:szCs w:val="24"/>
        </w:rPr>
        <w:t>8.</w:t>
      </w:r>
      <w:r w:rsidRPr="00201441">
        <w:rPr>
          <w:sz w:val="24"/>
          <w:szCs w:val="24"/>
        </w:rPr>
        <w:tab/>
        <w:t>Legal Implications</w:t>
      </w:r>
    </w:p>
    <w:p w14:paraId="237F7F58" w14:textId="77777777" w:rsidR="00953855" w:rsidRPr="00201441" w:rsidRDefault="00953855" w:rsidP="002B763E">
      <w:pPr>
        <w:pStyle w:val="Heading4"/>
        <w:jc w:val="both"/>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9"/>
      </w:tblGrid>
      <w:tr w:rsidR="00953855" w:rsidRPr="00201441" w14:paraId="2F8A5B79" w14:textId="77777777" w:rsidTr="00953855">
        <w:tc>
          <w:tcPr>
            <w:tcW w:w="8525" w:type="dxa"/>
            <w:tcBorders>
              <w:top w:val="nil"/>
              <w:left w:val="nil"/>
              <w:bottom w:val="nil"/>
              <w:right w:val="nil"/>
            </w:tcBorders>
          </w:tcPr>
          <w:p w14:paraId="6D45088A" w14:textId="02F87A7D" w:rsidR="00953855" w:rsidRPr="00201441" w:rsidRDefault="00953855">
            <w:pPr>
              <w:ind w:left="851" w:hanging="851"/>
              <w:jc w:val="both"/>
              <w:rPr>
                <w:rFonts w:cs="Arial"/>
                <w:szCs w:val="24"/>
              </w:rPr>
            </w:pPr>
            <w:r w:rsidRPr="00201441">
              <w:rPr>
                <w:rFonts w:cs="Arial"/>
                <w:szCs w:val="24"/>
              </w:rPr>
              <w:t>8.1</w:t>
            </w:r>
            <w:r w:rsidRPr="00201441">
              <w:rPr>
                <w:rFonts w:cs="Arial"/>
                <w:szCs w:val="24"/>
              </w:rPr>
              <w:tab/>
              <w:t xml:space="preserve">Local listing an area is not a statutory designation and there are no specific statutory controls for locally listed parks and gardens. However, under the Government’s National Planning Policy Framework (Revised July </w:t>
            </w:r>
            <w:r w:rsidR="00E768AD" w:rsidRPr="00201441">
              <w:rPr>
                <w:rFonts w:cs="Arial"/>
                <w:szCs w:val="24"/>
              </w:rPr>
              <w:t>2021</w:t>
            </w:r>
            <w:r w:rsidRPr="00201441">
              <w:rPr>
                <w:rFonts w:cs="Arial"/>
                <w:szCs w:val="24"/>
              </w:rPr>
              <w:t xml:space="preserve">) (http://www.communities.gov.uk/publications/planningandbuilding/nppf) locally listed parks and gardens are afforded protection under the heritage policies relating to local heritage assets (see especially paragraph </w:t>
            </w:r>
            <w:r w:rsidR="00E768AD" w:rsidRPr="00201441">
              <w:rPr>
                <w:rFonts w:cs="Arial"/>
                <w:szCs w:val="24"/>
              </w:rPr>
              <w:t>203</w:t>
            </w:r>
            <w:r w:rsidRPr="00201441">
              <w:rPr>
                <w:rFonts w:cs="Arial"/>
                <w:szCs w:val="24"/>
              </w:rPr>
              <w:t xml:space="preserve"> which states: ‘The effect of an application on the significance of a non-designated heritage asset should be taken into account in determining the application. In weighing applications that affect directly or indirectly non designated heritage assets, a balanced judgment will be required having regard to the scale of any harm or loss and the significance of the heritage asset’.</w:t>
            </w:r>
          </w:p>
          <w:p w14:paraId="0C659178" w14:textId="77777777" w:rsidR="00953855" w:rsidRPr="00201441" w:rsidRDefault="00953855">
            <w:pPr>
              <w:ind w:left="851" w:hanging="851"/>
              <w:jc w:val="both"/>
              <w:rPr>
                <w:rFonts w:cs="Arial"/>
                <w:szCs w:val="24"/>
              </w:rPr>
            </w:pPr>
          </w:p>
        </w:tc>
      </w:tr>
    </w:tbl>
    <w:p w14:paraId="69E3F13E" w14:textId="77777777" w:rsidR="00953855" w:rsidRPr="00201441" w:rsidRDefault="00953855" w:rsidP="00953855">
      <w:pPr>
        <w:pStyle w:val="Heading4"/>
        <w:jc w:val="both"/>
        <w:rPr>
          <w:b w:val="0"/>
          <w:szCs w:val="24"/>
        </w:rPr>
      </w:pPr>
    </w:p>
    <w:p w14:paraId="68AAD1E1" w14:textId="77777777" w:rsidR="00953855" w:rsidRPr="00201441" w:rsidRDefault="00953855" w:rsidP="002B763E">
      <w:pPr>
        <w:pStyle w:val="Heading2"/>
        <w:keepNext/>
        <w:ind w:left="851" w:hanging="851"/>
        <w:jc w:val="both"/>
        <w:rPr>
          <w:sz w:val="24"/>
          <w:szCs w:val="24"/>
        </w:rPr>
      </w:pPr>
      <w:r w:rsidRPr="00201441">
        <w:rPr>
          <w:sz w:val="24"/>
          <w:szCs w:val="24"/>
        </w:rPr>
        <w:t>9.</w:t>
      </w:r>
      <w:r w:rsidRPr="00201441">
        <w:rPr>
          <w:sz w:val="24"/>
          <w:szCs w:val="24"/>
        </w:rPr>
        <w:tab/>
        <w:t>Financial Implications</w:t>
      </w:r>
    </w:p>
    <w:p w14:paraId="7C429654" w14:textId="77777777" w:rsidR="00953855" w:rsidRPr="00201441" w:rsidRDefault="00953855" w:rsidP="002B763E">
      <w:pPr>
        <w:keepNext/>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9"/>
      </w:tblGrid>
      <w:tr w:rsidR="00953855" w:rsidRPr="00201441" w14:paraId="5F1A527E" w14:textId="77777777" w:rsidTr="00953855">
        <w:tc>
          <w:tcPr>
            <w:tcW w:w="8525" w:type="dxa"/>
            <w:tcBorders>
              <w:top w:val="nil"/>
              <w:left w:val="nil"/>
              <w:bottom w:val="nil"/>
              <w:right w:val="nil"/>
            </w:tcBorders>
            <w:hideMark/>
          </w:tcPr>
          <w:p w14:paraId="218DFC71" w14:textId="77777777" w:rsidR="00953855" w:rsidRPr="00201441" w:rsidRDefault="00953855">
            <w:pPr>
              <w:ind w:left="851" w:hanging="851"/>
              <w:jc w:val="both"/>
              <w:rPr>
                <w:rFonts w:cs="Arial"/>
                <w:szCs w:val="24"/>
              </w:rPr>
            </w:pPr>
            <w:r w:rsidRPr="00201441">
              <w:rPr>
                <w:rFonts w:cs="Arial"/>
                <w:szCs w:val="24"/>
              </w:rPr>
              <w:t>9.1</w:t>
            </w:r>
            <w:r w:rsidRPr="00201441">
              <w:rPr>
                <w:rFonts w:cs="Arial"/>
                <w:szCs w:val="24"/>
              </w:rPr>
              <w:tab/>
              <w:t>The costs of reviewing and amending the Harrow local list are met from within the 2020/21 budget of the Planning Policy team.</w:t>
            </w:r>
          </w:p>
        </w:tc>
      </w:tr>
    </w:tbl>
    <w:p w14:paraId="0FDB84A4" w14:textId="77777777" w:rsidR="00953855" w:rsidRPr="00201441" w:rsidRDefault="00953855" w:rsidP="00953855">
      <w:pPr>
        <w:jc w:val="both"/>
        <w:rPr>
          <w:rFonts w:cs="Arial"/>
          <w:szCs w:val="24"/>
        </w:rPr>
      </w:pPr>
    </w:p>
    <w:p w14:paraId="737C4B63" w14:textId="77777777" w:rsidR="00953855" w:rsidRPr="00201441" w:rsidRDefault="00953855" w:rsidP="002B763E">
      <w:pPr>
        <w:pStyle w:val="Heading2"/>
        <w:keepNext/>
        <w:spacing w:line="276" w:lineRule="auto"/>
        <w:ind w:left="851"/>
        <w:rPr>
          <w:sz w:val="24"/>
          <w:szCs w:val="24"/>
        </w:rPr>
      </w:pPr>
      <w:r w:rsidRPr="00201441">
        <w:rPr>
          <w:sz w:val="24"/>
          <w:szCs w:val="24"/>
        </w:rPr>
        <w:lastRenderedPageBreak/>
        <w:t>Procurement Implications</w:t>
      </w:r>
    </w:p>
    <w:p w14:paraId="0264FD92" w14:textId="77777777" w:rsidR="00953855" w:rsidRPr="00201441" w:rsidRDefault="00953855" w:rsidP="002B763E">
      <w:pPr>
        <w:keepNext/>
        <w:spacing w:line="276" w:lineRule="auto"/>
        <w:rPr>
          <w:rFonts w:cs="Arial"/>
          <w:szCs w:val="24"/>
        </w:rPr>
      </w:pPr>
    </w:p>
    <w:p w14:paraId="77606D07" w14:textId="04F372F5" w:rsidR="00953855" w:rsidRPr="00201441" w:rsidRDefault="002B763E" w:rsidP="002B763E">
      <w:pPr>
        <w:ind w:left="851" w:hanging="851"/>
        <w:jc w:val="both"/>
        <w:rPr>
          <w:rFonts w:cs="Arial"/>
          <w:szCs w:val="24"/>
        </w:rPr>
      </w:pPr>
      <w:r w:rsidRPr="00201441">
        <w:rPr>
          <w:rFonts w:cs="Arial"/>
          <w:szCs w:val="24"/>
        </w:rPr>
        <w:t>9.2</w:t>
      </w:r>
      <w:r w:rsidRPr="00201441">
        <w:rPr>
          <w:rFonts w:cs="Arial"/>
          <w:szCs w:val="24"/>
        </w:rPr>
        <w:tab/>
      </w:r>
      <w:r w:rsidR="00953855" w:rsidRPr="00201441">
        <w:rPr>
          <w:rFonts w:cs="Arial"/>
          <w:szCs w:val="24"/>
        </w:rPr>
        <w:t>No procurement implications.</w:t>
      </w:r>
    </w:p>
    <w:p w14:paraId="49439F14" w14:textId="77777777" w:rsidR="00953855" w:rsidRPr="00201441" w:rsidRDefault="00953855" w:rsidP="00953855">
      <w:pPr>
        <w:pStyle w:val="Heading2"/>
        <w:jc w:val="both"/>
        <w:rPr>
          <w:sz w:val="24"/>
          <w:szCs w:val="24"/>
        </w:rPr>
      </w:pPr>
    </w:p>
    <w:p w14:paraId="423AA4A6" w14:textId="77777777" w:rsidR="00953855" w:rsidRPr="00201441" w:rsidRDefault="00953855" w:rsidP="00953855">
      <w:pPr>
        <w:pStyle w:val="Heading2"/>
        <w:ind w:left="851" w:hanging="851"/>
        <w:jc w:val="both"/>
        <w:rPr>
          <w:sz w:val="24"/>
          <w:szCs w:val="24"/>
        </w:rPr>
      </w:pPr>
      <w:r w:rsidRPr="00201441">
        <w:rPr>
          <w:sz w:val="24"/>
          <w:szCs w:val="24"/>
        </w:rPr>
        <w:t>10</w:t>
      </w:r>
      <w:r w:rsidRPr="00201441">
        <w:rPr>
          <w:sz w:val="24"/>
          <w:szCs w:val="24"/>
        </w:rPr>
        <w:tab/>
        <w:t>Equalities implications / Public Sector Equality Duty</w:t>
      </w:r>
    </w:p>
    <w:p w14:paraId="5ECB3ABC" w14:textId="77777777" w:rsidR="00953855" w:rsidRPr="00201441" w:rsidRDefault="00953855" w:rsidP="00953855">
      <w:pPr>
        <w:jc w:val="both"/>
        <w:rPr>
          <w:rFonts w:cs="Arial"/>
          <w:szCs w:val="24"/>
        </w:rPr>
      </w:pPr>
    </w:p>
    <w:p w14:paraId="3599349C" w14:textId="77777777" w:rsidR="00953855" w:rsidRPr="00201441" w:rsidRDefault="00953855" w:rsidP="00953855">
      <w:pPr>
        <w:ind w:left="851"/>
        <w:jc w:val="both"/>
        <w:rPr>
          <w:rFonts w:cs="Arial"/>
          <w:szCs w:val="24"/>
        </w:rPr>
      </w:pPr>
      <w:r w:rsidRPr="00201441">
        <w:rPr>
          <w:rFonts w:cs="Arial"/>
          <w:szCs w:val="24"/>
        </w:rPr>
        <w:t xml:space="preserve">Was an Equality Impact Assessment carried out?  No </w:t>
      </w:r>
    </w:p>
    <w:p w14:paraId="5184173E" w14:textId="77777777" w:rsidR="00953855" w:rsidRPr="00201441" w:rsidRDefault="00953855" w:rsidP="00953855">
      <w:pPr>
        <w:jc w:val="both"/>
        <w:rPr>
          <w:rFonts w:cs="Arial"/>
          <w:szCs w:val="24"/>
        </w:rPr>
      </w:pPr>
    </w:p>
    <w:p w14:paraId="7AE46BA9" w14:textId="39E2797C" w:rsidR="00F4617D" w:rsidRPr="00201441" w:rsidRDefault="00953855" w:rsidP="00CC38EB">
      <w:pPr>
        <w:ind w:left="851" w:hanging="851"/>
        <w:jc w:val="both"/>
      </w:pPr>
      <w:r w:rsidRPr="00201441">
        <w:rPr>
          <w:rFonts w:cs="Arial"/>
          <w:szCs w:val="24"/>
        </w:rPr>
        <w:t>10.1</w:t>
      </w:r>
      <w:r w:rsidRPr="00201441">
        <w:rPr>
          <w:rFonts w:cs="Arial"/>
          <w:szCs w:val="24"/>
        </w:rPr>
        <w:tab/>
      </w:r>
      <w:r w:rsidR="00F4617D" w:rsidRPr="00201441">
        <w:t>The public sector equality duty under s.149(1) of the Equality Act 2010 was considered and the Council has had due regard to the need to advance equality of opportunity between persons who share a “relevant” protected characteristic and persons who do not share it and has concluded that the proposed local listing will be of benefit to all groups.</w:t>
      </w:r>
    </w:p>
    <w:p w14:paraId="405B62D6" w14:textId="0CEB8EF3" w:rsidR="002B763E" w:rsidRPr="00201441" w:rsidRDefault="002B763E" w:rsidP="00CC38EB">
      <w:pPr>
        <w:ind w:left="851" w:hanging="851"/>
        <w:jc w:val="both"/>
      </w:pPr>
    </w:p>
    <w:p w14:paraId="43D7C6A3" w14:textId="5182E736" w:rsidR="002B763E" w:rsidRPr="00201441" w:rsidRDefault="002B763E" w:rsidP="00CC38EB">
      <w:pPr>
        <w:ind w:left="851" w:hanging="851"/>
        <w:jc w:val="both"/>
      </w:pPr>
      <w:r w:rsidRPr="00201441">
        <w:t>10.2</w:t>
      </w:r>
      <w:r w:rsidRPr="00201441">
        <w:tab/>
        <w:t xml:space="preserve">The local list and associated policies are linked to Harrow Local Plan, which was subject to a full </w:t>
      </w:r>
      <w:r w:rsidR="000A6B6E">
        <w:t>Equalities Impact Assessment (</w:t>
      </w:r>
      <w:r w:rsidRPr="00201441">
        <w:t>EqIA</w:t>
      </w:r>
      <w:r w:rsidR="000A6B6E">
        <w:t>)</w:t>
      </w:r>
      <w:r w:rsidRPr="00201441">
        <w:t xml:space="preserve"> process prior to </w:t>
      </w:r>
      <w:r w:rsidR="000A6B6E" w:rsidRPr="00201441">
        <w:t>adoption</w:t>
      </w:r>
      <w:r w:rsidRPr="00201441">
        <w:t>. Additionally, there are no policy / service change that affects residents, stakeholders or users.</w:t>
      </w:r>
    </w:p>
    <w:p w14:paraId="6B261955" w14:textId="77777777" w:rsidR="00953855" w:rsidRPr="00201441" w:rsidRDefault="00953855" w:rsidP="00953855">
      <w:pPr>
        <w:autoSpaceDE w:val="0"/>
        <w:autoSpaceDN w:val="0"/>
        <w:adjustRightInd w:val="0"/>
        <w:jc w:val="both"/>
        <w:rPr>
          <w:rFonts w:cs="Arial"/>
          <w:szCs w:val="24"/>
        </w:rPr>
      </w:pPr>
    </w:p>
    <w:p w14:paraId="2FA6C87E" w14:textId="77777777" w:rsidR="00953855" w:rsidRPr="00201441" w:rsidRDefault="00953855" w:rsidP="00953855">
      <w:pPr>
        <w:pStyle w:val="Heading2"/>
        <w:ind w:left="851" w:hanging="851"/>
        <w:jc w:val="both"/>
        <w:rPr>
          <w:sz w:val="24"/>
          <w:szCs w:val="24"/>
        </w:rPr>
      </w:pPr>
      <w:r w:rsidRPr="00201441">
        <w:rPr>
          <w:sz w:val="24"/>
          <w:szCs w:val="24"/>
        </w:rPr>
        <w:t>11</w:t>
      </w:r>
      <w:r w:rsidRPr="00201441">
        <w:rPr>
          <w:sz w:val="24"/>
          <w:szCs w:val="24"/>
        </w:rPr>
        <w:tab/>
        <w:t>Council Priorities</w:t>
      </w:r>
    </w:p>
    <w:p w14:paraId="2C6651EE" w14:textId="77777777" w:rsidR="00953855" w:rsidRPr="00201441" w:rsidRDefault="00953855" w:rsidP="00953855">
      <w:pPr>
        <w:jc w:val="both"/>
        <w:rPr>
          <w:rFonts w:cs="Arial"/>
          <w:szCs w:val="24"/>
        </w:rPr>
      </w:pPr>
    </w:p>
    <w:p w14:paraId="6C61EE3A" w14:textId="77777777" w:rsidR="00953855" w:rsidRPr="00201441" w:rsidRDefault="00953855" w:rsidP="00953855">
      <w:pPr>
        <w:ind w:left="851" w:hanging="851"/>
        <w:jc w:val="both"/>
        <w:rPr>
          <w:rFonts w:cs="Arial"/>
          <w:szCs w:val="24"/>
        </w:rPr>
      </w:pPr>
      <w:r w:rsidRPr="00201441">
        <w:rPr>
          <w:rFonts w:cs="Arial"/>
          <w:szCs w:val="24"/>
        </w:rPr>
        <w:t>11.1</w:t>
      </w:r>
      <w:r w:rsidRPr="00201441">
        <w:rPr>
          <w:rFonts w:cs="Arial"/>
          <w:szCs w:val="24"/>
        </w:rPr>
        <w:tab/>
        <w:t>The decision made will help the Council meet the following corporate priorities and values:</w:t>
      </w:r>
    </w:p>
    <w:p w14:paraId="6FDC21A9" w14:textId="12984E0C" w:rsidR="00953855" w:rsidRPr="00201441" w:rsidRDefault="00953855" w:rsidP="002B763E">
      <w:pPr>
        <w:pStyle w:val="ListParagraph"/>
        <w:numPr>
          <w:ilvl w:val="0"/>
          <w:numId w:val="9"/>
        </w:numPr>
        <w:autoSpaceDE w:val="0"/>
        <w:autoSpaceDN w:val="0"/>
        <w:spacing w:before="240"/>
        <w:ind w:left="1276"/>
        <w:rPr>
          <w:bCs/>
        </w:rPr>
      </w:pPr>
      <w:r w:rsidRPr="00201441">
        <w:rPr>
          <w:bCs/>
        </w:rPr>
        <w:t xml:space="preserve">Improving the environment </w:t>
      </w:r>
    </w:p>
    <w:p w14:paraId="263A2C60" w14:textId="77777777" w:rsidR="002B763E" w:rsidRPr="00201441" w:rsidRDefault="002B763E" w:rsidP="00953855">
      <w:pPr>
        <w:ind w:left="851" w:hanging="851"/>
        <w:jc w:val="both"/>
        <w:rPr>
          <w:rFonts w:cs="Arial"/>
          <w:szCs w:val="24"/>
        </w:rPr>
      </w:pPr>
    </w:p>
    <w:p w14:paraId="6B043552" w14:textId="550E720C" w:rsidR="00953855" w:rsidRPr="00201441" w:rsidRDefault="00953855" w:rsidP="00953855">
      <w:pPr>
        <w:ind w:left="851" w:hanging="851"/>
        <w:jc w:val="both"/>
        <w:rPr>
          <w:rFonts w:cs="Arial"/>
          <w:szCs w:val="24"/>
        </w:rPr>
      </w:pPr>
      <w:r w:rsidRPr="00201441">
        <w:rPr>
          <w:rFonts w:cs="Arial"/>
          <w:szCs w:val="24"/>
        </w:rPr>
        <w:t>11.2</w:t>
      </w:r>
      <w:r w:rsidRPr="00201441">
        <w:rPr>
          <w:rFonts w:cs="Arial"/>
          <w:szCs w:val="24"/>
        </w:rPr>
        <w:tab/>
        <w:t xml:space="preserve">The protection of these heritage assets via local listing will assist in ensuring the conservation of these assets which enhance the environment for Harrow residents. </w:t>
      </w:r>
    </w:p>
    <w:p w14:paraId="5514D939" w14:textId="77777777" w:rsidR="00333FAA" w:rsidRPr="00201441" w:rsidRDefault="00333FAA" w:rsidP="00DF318F">
      <w:pPr>
        <w:pStyle w:val="Heading2"/>
        <w:keepNext/>
        <w:spacing w:before="480" w:after="240"/>
      </w:pPr>
      <w:r w:rsidRPr="00201441">
        <w:t>Section 3 - Statutory Officer Clearance</w:t>
      </w:r>
    </w:p>
    <w:p w14:paraId="3B5D52F9" w14:textId="1319A8B4" w:rsidR="00A66326" w:rsidRPr="00201441" w:rsidRDefault="00A66326" w:rsidP="00A66326">
      <w:pPr>
        <w:rPr>
          <w:sz w:val="28"/>
        </w:rPr>
      </w:pPr>
      <w:r w:rsidRPr="00201441">
        <w:rPr>
          <w:b/>
          <w:sz w:val="28"/>
        </w:rPr>
        <w:t xml:space="preserve">Statutory Officer:  </w:t>
      </w:r>
      <w:r w:rsidR="00CC38EB" w:rsidRPr="00201441">
        <w:rPr>
          <w:b/>
          <w:sz w:val="28"/>
        </w:rPr>
        <w:t>Jessie Man</w:t>
      </w:r>
    </w:p>
    <w:p w14:paraId="06450070" w14:textId="5502716C" w:rsidR="00A66326" w:rsidRPr="00201441" w:rsidRDefault="00A66326" w:rsidP="00A66326">
      <w:r w:rsidRPr="00201441">
        <w:t xml:space="preserve">Signed </w:t>
      </w:r>
      <w:r w:rsidR="000A6B6E">
        <w:t>on behalf of the</w:t>
      </w:r>
      <w:r w:rsidRPr="00201441">
        <w:t xml:space="preserve"> Chief Financial Officer</w:t>
      </w:r>
    </w:p>
    <w:p w14:paraId="555021EF" w14:textId="0162E769" w:rsidR="00A66326" w:rsidRPr="00201441" w:rsidRDefault="00A66326" w:rsidP="00A66326">
      <w:pPr>
        <w:spacing w:after="480"/>
        <w:rPr>
          <w:sz w:val="28"/>
        </w:rPr>
      </w:pPr>
      <w:r w:rsidRPr="00201441">
        <w:rPr>
          <w:b/>
          <w:sz w:val="28"/>
        </w:rPr>
        <w:t xml:space="preserve">Date:  </w:t>
      </w:r>
      <w:r w:rsidR="00445374" w:rsidRPr="00201441">
        <w:rPr>
          <w:bCs/>
          <w:sz w:val="28"/>
        </w:rPr>
        <w:t>19</w:t>
      </w:r>
      <w:r w:rsidR="00445374" w:rsidRPr="00201441">
        <w:rPr>
          <w:bCs/>
          <w:sz w:val="28"/>
          <w:vertAlign w:val="superscript"/>
        </w:rPr>
        <w:t>th</w:t>
      </w:r>
      <w:r w:rsidR="00445374" w:rsidRPr="00201441">
        <w:rPr>
          <w:bCs/>
          <w:sz w:val="28"/>
        </w:rPr>
        <w:t xml:space="preserve"> July 2021</w:t>
      </w:r>
    </w:p>
    <w:p w14:paraId="7137AF9C" w14:textId="77777777" w:rsidR="00445374" w:rsidRPr="00201441" w:rsidRDefault="00A66326" w:rsidP="002B763E">
      <w:pPr>
        <w:keepNext/>
        <w:ind w:left="360" w:hanging="360"/>
        <w:jc w:val="both"/>
        <w:rPr>
          <w:rFonts w:cs="Arial"/>
        </w:rPr>
      </w:pPr>
      <w:r w:rsidRPr="00201441">
        <w:rPr>
          <w:b/>
          <w:sz w:val="28"/>
        </w:rPr>
        <w:t xml:space="preserve">Statutory Officer:  </w:t>
      </w:r>
      <w:r w:rsidR="00445374" w:rsidRPr="00201441">
        <w:rPr>
          <w:rFonts w:cs="Arial"/>
        </w:rPr>
        <w:t>Patrick Kelly</w:t>
      </w:r>
    </w:p>
    <w:p w14:paraId="76F84634" w14:textId="05D6473C" w:rsidR="00A66326" w:rsidRPr="00201441" w:rsidRDefault="00A66326" w:rsidP="002B763E">
      <w:pPr>
        <w:keepNext/>
      </w:pPr>
      <w:r w:rsidRPr="00201441">
        <w:t>Signed on behalf of the Monitoring Officer</w:t>
      </w:r>
    </w:p>
    <w:p w14:paraId="1AC0D358" w14:textId="2D41A2AC" w:rsidR="00A66326" w:rsidRPr="00201441" w:rsidRDefault="00A66326" w:rsidP="00A66326">
      <w:pPr>
        <w:spacing w:after="480"/>
        <w:rPr>
          <w:sz w:val="28"/>
        </w:rPr>
      </w:pPr>
      <w:r w:rsidRPr="00201441">
        <w:rPr>
          <w:b/>
          <w:sz w:val="28"/>
        </w:rPr>
        <w:t xml:space="preserve">Date:  </w:t>
      </w:r>
      <w:r w:rsidR="00E04288" w:rsidRPr="00201441">
        <w:rPr>
          <w:bCs/>
          <w:sz w:val="28"/>
        </w:rPr>
        <w:t>3 August 2021</w:t>
      </w:r>
    </w:p>
    <w:p w14:paraId="31D8FA55" w14:textId="191ECF57" w:rsidR="00BF5AFA" w:rsidRPr="00201441" w:rsidRDefault="008022AB" w:rsidP="00BF5AFA">
      <w:pPr>
        <w:rPr>
          <w:b/>
          <w:sz w:val="28"/>
          <w:szCs w:val="28"/>
        </w:rPr>
      </w:pPr>
      <w:r w:rsidRPr="00201441">
        <w:rPr>
          <w:b/>
          <w:sz w:val="28"/>
          <w:szCs w:val="28"/>
        </w:rPr>
        <w:t>Corporate Director</w:t>
      </w:r>
      <w:r w:rsidR="00BF5AFA" w:rsidRPr="00201441">
        <w:rPr>
          <w:b/>
          <w:sz w:val="28"/>
          <w:szCs w:val="28"/>
        </w:rPr>
        <w:t xml:space="preserve">:  </w:t>
      </w:r>
      <w:r w:rsidRPr="00201441">
        <w:rPr>
          <w:b/>
          <w:sz w:val="28"/>
          <w:szCs w:val="28"/>
        </w:rPr>
        <w:t>Mark Billington</w:t>
      </w:r>
    </w:p>
    <w:p w14:paraId="6C086558" w14:textId="2E124A66" w:rsidR="00BF5AFA" w:rsidRPr="00201441" w:rsidRDefault="00BF5AFA" w:rsidP="00BF5AFA">
      <w:r w:rsidRPr="00201441">
        <w:t xml:space="preserve">Signed off by the </w:t>
      </w:r>
      <w:r w:rsidR="000A6B6E">
        <w:t xml:space="preserve">Acting </w:t>
      </w:r>
      <w:r w:rsidRPr="00201441">
        <w:t>Corporate Director</w:t>
      </w:r>
      <w:r w:rsidR="000A6B6E">
        <w:t>, Community</w:t>
      </w:r>
    </w:p>
    <w:p w14:paraId="5F67CDF0" w14:textId="6DE01C0A" w:rsidR="00BF5AFA" w:rsidRPr="00201441" w:rsidRDefault="00BF5AFA" w:rsidP="00BF5AFA">
      <w:pPr>
        <w:spacing w:after="480"/>
        <w:rPr>
          <w:bCs/>
          <w:sz w:val="28"/>
        </w:rPr>
      </w:pPr>
      <w:r w:rsidRPr="00201441">
        <w:rPr>
          <w:b/>
          <w:sz w:val="28"/>
        </w:rPr>
        <w:t xml:space="preserve">Date:  </w:t>
      </w:r>
      <w:r w:rsidR="008022AB" w:rsidRPr="00201441">
        <w:rPr>
          <w:bCs/>
          <w:sz w:val="28"/>
        </w:rPr>
        <w:t>26 August 2021</w:t>
      </w:r>
    </w:p>
    <w:p w14:paraId="2FC8A3CD" w14:textId="77777777" w:rsidR="000A6B6E" w:rsidRDefault="000A6B6E" w:rsidP="00BF5AFA">
      <w:pPr>
        <w:rPr>
          <w:b/>
          <w:sz w:val="28"/>
        </w:rPr>
      </w:pPr>
    </w:p>
    <w:p w14:paraId="2C546334" w14:textId="4E04F8C6" w:rsidR="00BF5AFA" w:rsidRPr="00201441" w:rsidRDefault="00BF5AFA" w:rsidP="00BF5AFA">
      <w:pPr>
        <w:rPr>
          <w:sz w:val="28"/>
        </w:rPr>
      </w:pPr>
      <w:r w:rsidRPr="00201441">
        <w:rPr>
          <w:b/>
          <w:sz w:val="28"/>
        </w:rPr>
        <w:lastRenderedPageBreak/>
        <w:t xml:space="preserve">Head of Procurement:  </w:t>
      </w:r>
      <w:r w:rsidR="00445374" w:rsidRPr="00201441">
        <w:rPr>
          <w:b/>
          <w:sz w:val="28"/>
        </w:rPr>
        <w:t xml:space="preserve">Nimesh Mehta </w:t>
      </w:r>
    </w:p>
    <w:p w14:paraId="3C6E94C3" w14:textId="0C9E8CAD" w:rsidR="00BF5AFA" w:rsidRPr="00201441" w:rsidRDefault="00BF5AFA" w:rsidP="00BF5AFA">
      <w:r w:rsidRPr="00201441">
        <w:t>Signed by the Head of Procurement</w:t>
      </w:r>
    </w:p>
    <w:p w14:paraId="5A683B65" w14:textId="48ADF5AF" w:rsidR="00BF5AFA" w:rsidRPr="00201441" w:rsidRDefault="00BF5AFA" w:rsidP="00BF5AFA">
      <w:pPr>
        <w:spacing w:after="480"/>
        <w:rPr>
          <w:sz w:val="28"/>
        </w:rPr>
      </w:pPr>
      <w:r w:rsidRPr="00201441">
        <w:rPr>
          <w:b/>
          <w:sz w:val="28"/>
        </w:rPr>
        <w:t xml:space="preserve">Date:  </w:t>
      </w:r>
      <w:r w:rsidR="00445374" w:rsidRPr="00201441">
        <w:rPr>
          <w:bCs/>
          <w:sz w:val="28"/>
        </w:rPr>
        <w:t>30</w:t>
      </w:r>
      <w:r w:rsidR="00445374" w:rsidRPr="00201441">
        <w:rPr>
          <w:bCs/>
          <w:sz w:val="28"/>
          <w:vertAlign w:val="superscript"/>
        </w:rPr>
        <w:t>th</w:t>
      </w:r>
      <w:r w:rsidR="00445374" w:rsidRPr="00201441">
        <w:rPr>
          <w:bCs/>
          <w:sz w:val="28"/>
        </w:rPr>
        <w:t xml:space="preserve"> June 2021</w:t>
      </w:r>
    </w:p>
    <w:p w14:paraId="113297A5" w14:textId="77AA7D51" w:rsidR="00BF5AFA" w:rsidRPr="00201441" w:rsidRDefault="00BF5AFA" w:rsidP="00BF5AFA">
      <w:pPr>
        <w:rPr>
          <w:sz w:val="28"/>
        </w:rPr>
      </w:pPr>
      <w:r w:rsidRPr="00201441">
        <w:rPr>
          <w:b/>
          <w:sz w:val="28"/>
        </w:rPr>
        <w:t xml:space="preserve">Head of Internal Audit:  </w:t>
      </w:r>
      <w:r w:rsidR="00CC38EB" w:rsidRPr="00201441">
        <w:rPr>
          <w:b/>
          <w:sz w:val="28"/>
        </w:rPr>
        <w:t xml:space="preserve">Susan Dixson </w:t>
      </w:r>
    </w:p>
    <w:p w14:paraId="4DDA2DC7" w14:textId="01AD1922" w:rsidR="00445374" w:rsidRPr="00201441" w:rsidRDefault="00445374" w:rsidP="00445374">
      <w:r w:rsidRPr="00201441">
        <w:t xml:space="preserve">Signed by the Head of </w:t>
      </w:r>
      <w:r w:rsidR="000A6B6E">
        <w:t xml:space="preserve">Internal </w:t>
      </w:r>
      <w:r w:rsidRPr="00201441">
        <w:t>Audit</w:t>
      </w:r>
    </w:p>
    <w:p w14:paraId="065BF29C" w14:textId="1E7909BD" w:rsidR="00BF5AFA" w:rsidRPr="00201441" w:rsidRDefault="00BF5AFA" w:rsidP="00CC38EB">
      <w:pPr>
        <w:pStyle w:val="Heading3"/>
      </w:pPr>
      <w:r w:rsidRPr="00201441">
        <w:t>Date:</w:t>
      </w:r>
      <w:r w:rsidR="00CC38EB" w:rsidRPr="00201441">
        <w:t xml:space="preserve"> </w:t>
      </w:r>
      <w:r w:rsidR="00CC38EB" w:rsidRPr="00201441">
        <w:rPr>
          <w:rStyle w:val="Emphasis"/>
          <w:b w:val="0"/>
          <w:bCs w:val="0"/>
          <w:i w:val="0"/>
          <w:iCs w:val="0"/>
        </w:rPr>
        <w:t>3</w:t>
      </w:r>
      <w:r w:rsidR="00E86BC4" w:rsidRPr="00E86BC4">
        <w:rPr>
          <w:rStyle w:val="Emphasis"/>
          <w:b w:val="0"/>
          <w:bCs w:val="0"/>
          <w:i w:val="0"/>
          <w:iCs w:val="0"/>
          <w:vertAlign w:val="superscript"/>
        </w:rPr>
        <w:t>rd</w:t>
      </w:r>
      <w:r w:rsidR="00E86BC4">
        <w:rPr>
          <w:rStyle w:val="Emphasis"/>
          <w:b w:val="0"/>
          <w:bCs w:val="0"/>
          <w:i w:val="0"/>
          <w:iCs w:val="0"/>
        </w:rPr>
        <w:t xml:space="preserve"> </w:t>
      </w:r>
      <w:r w:rsidR="00CC38EB" w:rsidRPr="00201441">
        <w:rPr>
          <w:rStyle w:val="Emphasis"/>
          <w:b w:val="0"/>
          <w:bCs w:val="0"/>
          <w:i w:val="0"/>
          <w:iCs w:val="0"/>
        </w:rPr>
        <w:t>August 2021</w:t>
      </w:r>
    </w:p>
    <w:p w14:paraId="45A19EC7" w14:textId="59434FDF" w:rsidR="003313EA" w:rsidRPr="00201441" w:rsidRDefault="003313EA" w:rsidP="00BF5AFA">
      <w:pPr>
        <w:pStyle w:val="Heading2"/>
        <w:spacing w:before="480" w:after="240"/>
      </w:pPr>
      <w:r w:rsidRPr="00201441">
        <w:t>Mandatory Checks</w:t>
      </w:r>
    </w:p>
    <w:p w14:paraId="64551188" w14:textId="560EC2D1" w:rsidR="008022AB" w:rsidRPr="00201441" w:rsidRDefault="003313EA" w:rsidP="008022AB">
      <w:pPr>
        <w:pStyle w:val="Heading3"/>
        <w:ind w:left="0" w:firstLine="0"/>
        <w:jc w:val="left"/>
        <w:rPr>
          <w:i/>
          <w:sz w:val="24"/>
          <w:szCs w:val="24"/>
        </w:rPr>
      </w:pPr>
      <w:r w:rsidRPr="00201441">
        <w:t xml:space="preserve">Ward Councillors notified:  </w:t>
      </w:r>
      <w:r w:rsidR="00BB37F6">
        <w:t>Yes</w:t>
      </w:r>
    </w:p>
    <w:p w14:paraId="2A2D9472" w14:textId="5946D7A6" w:rsidR="003313EA" w:rsidRPr="00201441" w:rsidRDefault="003313EA" w:rsidP="003313EA">
      <w:pPr>
        <w:pStyle w:val="Heading3"/>
        <w:spacing w:before="240"/>
        <w:rPr>
          <w:b w:val="0"/>
          <w:bCs w:val="0"/>
        </w:rPr>
      </w:pPr>
      <w:r w:rsidRPr="00201441">
        <w:t xml:space="preserve">EqIA carried out:  </w:t>
      </w:r>
      <w:r w:rsidR="000A6B6E" w:rsidRPr="00BB37F6">
        <w:rPr>
          <w:sz w:val="24"/>
          <w:szCs w:val="24"/>
        </w:rPr>
        <w:t>NO</w:t>
      </w:r>
      <w:r w:rsidR="000A6B6E" w:rsidRPr="00BB37F6">
        <w:rPr>
          <w:b w:val="0"/>
          <w:bCs w:val="0"/>
          <w:sz w:val="24"/>
          <w:szCs w:val="24"/>
        </w:rPr>
        <w:t xml:space="preserve"> </w:t>
      </w:r>
      <w:r w:rsidR="000A6B6E" w:rsidRPr="00201441">
        <w:rPr>
          <w:b w:val="0"/>
          <w:bCs w:val="0"/>
        </w:rPr>
        <w:t>(</w:t>
      </w:r>
      <w:r w:rsidR="002B763E" w:rsidRPr="00201441">
        <w:rPr>
          <w:b w:val="0"/>
          <w:bCs w:val="0"/>
        </w:rPr>
        <w:t>see section 10 above)</w:t>
      </w:r>
      <w:r w:rsidR="008022AB" w:rsidRPr="00201441">
        <w:rPr>
          <w:b w:val="0"/>
          <w:bCs w:val="0"/>
          <w:sz w:val="24"/>
          <w:szCs w:val="24"/>
        </w:rPr>
        <w:t>.</w:t>
      </w:r>
    </w:p>
    <w:p w14:paraId="6B589F3A" w14:textId="00EB8C46" w:rsidR="003313EA" w:rsidRPr="00BB37F6" w:rsidRDefault="003313EA" w:rsidP="00DF318F">
      <w:pPr>
        <w:pStyle w:val="Heading3"/>
        <w:spacing w:before="240"/>
        <w:ind w:left="0" w:firstLine="0"/>
        <w:jc w:val="left"/>
      </w:pPr>
      <w:r w:rsidRPr="00201441">
        <w:t>EqIA cleared by</w:t>
      </w:r>
      <w:r w:rsidRPr="00201441">
        <w:rPr>
          <w:b w:val="0"/>
          <w:bCs w:val="0"/>
          <w:sz w:val="24"/>
          <w:szCs w:val="24"/>
        </w:rPr>
        <w:t xml:space="preserve">: </w:t>
      </w:r>
      <w:r w:rsidR="00BB37F6" w:rsidRPr="00BB37F6">
        <w:rPr>
          <w:sz w:val="24"/>
          <w:szCs w:val="24"/>
        </w:rPr>
        <w:t>N/A</w:t>
      </w:r>
    </w:p>
    <w:p w14:paraId="41E16C55" w14:textId="77777777" w:rsidR="00333FAA" w:rsidRPr="00201441" w:rsidRDefault="00333FAA" w:rsidP="00DF318F">
      <w:pPr>
        <w:pStyle w:val="Heading2"/>
        <w:keepNext/>
        <w:spacing w:before="480" w:after="240"/>
      </w:pPr>
      <w:r w:rsidRPr="00201441">
        <w:t xml:space="preserve">Section </w:t>
      </w:r>
      <w:r w:rsidR="00A20113" w:rsidRPr="00201441">
        <w:t>4</w:t>
      </w:r>
      <w:r w:rsidRPr="00201441">
        <w:t xml:space="preserve"> - Contact Details and Background Papers</w:t>
      </w:r>
    </w:p>
    <w:p w14:paraId="0005C0E4" w14:textId="1D25660E" w:rsidR="00333FAA" w:rsidRPr="00201441" w:rsidRDefault="00333FAA" w:rsidP="00DF318F">
      <w:pPr>
        <w:pStyle w:val="Infotext"/>
        <w:keepNext/>
        <w:spacing w:after="240"/>
      </w:pPr>
      <w:r w:rsidRPr="00201441">
        <w:rPr>
          <w:b/>
        </w:rPr>
        <w:t xml:space="preserve">Contact:  </w:t>
      </w:r>
      <w:r w:rsidR="00F4617D" w:rsidRPr="00201441">
        <w:t>Lucy Haile</w:t>
      </w:r>
      <w:r w:rsidR="005808FB" w:rsidRPr="00201441">
        <w:t xml:space="preserve">, </w:t>
      </w:r>
      <w:r w:rsidR="00F4617D" w:rsidRPr="00201441">
        <w:t>Principal Conservation Officer</w:t>
      </w:r>
      <w:r w:rsidR="005808FB" w:rsidRPr="00201441">
        <w:t xml:space="preserve">, </w:t>
      </w:r>
      <w:r w:rsidR="00F4617D" w:rsidRPr="00201441">
        <w:t xml:space="preserve">0208 736 6101 </w:t>
      </w:r>
      <w:r w:rsidR="005808FB" w:rsidRPr="00201441">
        <w:t xml:space="preserve">and </w:t>
      </w:r>
      <w:hyperlink r:id="rId13" w:history="1">
        <w:r w:rsidR="00BB37F6" w:rsidRPr="005571D9">
          <w:rPr>
            <w:rStyle w:val="Hyperlink"/>
          </w:rPr>
          <w:t>lucy.haile@harrow.gov.uk</w:t>
        </w:r>
      </w:hyperlink>
      <w:r w:rsidR="00BB37F6">
        <w:t xml:space="preserve"> </w:t>
      </w:r>
    </w:p>
    <w:p w14:paraId="5643A7F9" w14:textId="685BB9EC" w:rsidR="005718B5" w:rsidRPr="00201441" w:rsidRDefault="00333FAA" w:rsidP="00CC38EB">
      <w:pPr>
        <w:pStyle w:val="Infotext"/>
        <w:rPr>
          <w:rFonts w:ascii="Calibri" w:hAnsi="Calibri"/>
          <w:szCs w:val="24"/>
          <w:lang w:eastAsia="en-GB"/>
        </w:rPr>
      </w:pPr>
      <w:r w:rsidRPr="00201441">
        <w:rPr>
          <w:b/>
        </w:rPr>
        <w:t xml:space="preserve">Background Papers: </w:t>
      </w:r>
      <w:r w:rsidR="005808FB" w:rsidRPr="00201441">
        <w:rPr>
          <w:b/>
        </w:rPr>
        <w:t xml:space="preserve"> </w:t>
      </w:r>
      <w:r w:rsidR="00F4617D" w:rsidRPr="00201441">
        <w:t>None.</w:t>
      </w:r>
    </w:p>
    <w:p w14:paraId="7C8FEB52" w14:textId="68920CF0" w:rsidR="00842757" w:rsidRPr="00201441" w:rsidRDefault="00842757" w:rsidP="00842757">
      <w:pPr>
        <w:pStyle w:val="Infotext"/>
        <w:spacing w:before="480"/>
        <w:rPr>
          <w:rFonts w:ascii="Arial Black" w:hAnsi="Arial Black"/>
        </w:rPr>
      </w:pPr>
      <w:r w:rsidRPr="00201441">
        <w:rPr>
          <w:rFonts w:ascii="Arial Black" w:hAnsi="Arial Black"/>
        </w:rPr>
        <w:t>Call-in waived by the Chair of Overview and Scrutiny Committee</w:t>
      </w:r>
    </w:p>
    <w:p w14:paraId="44D7F606" w14:textId="59453DB7" w:rsidR="008022AB" w:rsidRPr="00201441" w:rsidRDefault="00842757" w:rsidP="00BB37F6">
      <w:pPr>
        <w:pStyle w:val="Infotext"/>
        <w:spacing w:before="240"/>
        <w:rPr>
          <w:rFonts w:cs="Arial"/>
          <w:i/>
          <w:szCs w:val="24"/>
          <w:lang w:eastAsia="en-GB"/>
        </w:rPr>
      </w:pPr>
      <w:r w:rsidRPr="00201441">
        <w:rPr>
          <w:b/>
        </w:rPr>
        <w:t xml:space="preserve">NO </w:t>
      </w:r>
    </w:p>
    <w:sectPr w:rsidR="008022AB" w:rsidRPr="00201441"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58C7" w14:textId="77777777" w:rsidR="007F335A" w:rsidRDefault="007F335A">
      <w:r>
        <w:separator/>
      </w:r>
    </w:p>
  </w:endnote>
  <w:endnote w:type="continuationSeparator" w:id="0">
    <w:p w14:paraId="095024F0"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B808" w14:textId="77777777" w:rsidR="007F335A" w:rsidRDefault="007F335A">
      <w:r>
        <w:separator/>
      </w:r>
    </w:p>
  </w:footnote>
  <w:footnote w:type="continuationSeparator" w:id="0">
    <w:p w14:paraId="24B52E60" w14:textId="77777777" w:rsidR="007F335A" w:rsidRDefault="007F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45F"/>
    <w:multiLevelType w:val="multilevel"/>
    <w:tmpl w:val="6980BB3A"/>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986BDA"/>
    <w:multiLevelType w:val="hybridMultilevel"/>
    <w:tmpl w:val="5B68176E"/>
    <w:lvl w:ilvl="0" w:tplc="FE0E072C">
      <w:start w:val="1"/>
      <w:numFmt w:val="decimal"/>
      <w:lvlText w:val="%1."/>
      <w:lvlJc w:val="left"/>
      <w:pPr>
        <w:ind w:left="720" w:hanging="360"/>
      </w:pPr>
      <w:rPr>
        <w:rFonts w:cs="Arial"/>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A7D74F3"/>
    <w:multiLevelType w:val="hybridMultilevel"/>
    <w:tmpl w:val="D0585F64"/>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Times New Roman"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Times New Roman"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Times New Roman" w:hint="default"/>
      </w:rPr>
    </w:lvl>
    <w:lvl w:ilvl="8" w:tplc="08090005">
      <w:start w:val="1"/>
      <w:numFmt w:val="bullet"/>
      <w:lvlText w:val=""/>
      <w:lvlJc w:val="left"/>
      <w:pPr>
        <w:ind w:left="6615" w:hanging="360"/>
      </w:pPr>
      <w:rPr>
        <w:rFonts w:ascii="Wingdings" w:hAnsi="Wingdings" w:hint="default"/>
      </w:rPr>
    </w:lvl>
  </w:abstractNum>
  <w:abstractNum w:abstractNumId="5" w15:restartNumberingAfterBreak="0">
    <w:nsid w:val="4F391532"/>
    <w:multiLevelType w:val="hybridMultilevel"/>
    <w:tmpl w:val="A87AED66"/>
    <w:lvl w:ilvl="0" w:tplc="4448D780">
      <w:start w:val="1"/>
      <w:numFmt w:val="lowerRoman"/>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F955DF"/>
    <w:multiLevelType w:val="hybridMultilevel"/>
    <w:tmpl w:val="3110AA8C"/>
    <w:lvl w:ilvl="0" w:tplc="4448D780">
      <w:start w:val="1"/>
      <w:numFmt w:val="lowerRoman"/>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452292"/>
    <w:multiLevelType w:val="hybridMultilevel"/>
    <w:tmpl w:val="FE04A22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3550F9"/>
    <w:multiLevelType w:val="hybridMultilevel"/>
    <w:tmpl w:val="8C4E09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34E"/>
    <w:rsid w:val="00063783"/>
    <w:rsid w:val="00073765"/>
    <w:rsid w:val="000929A6"/>
    <w:rsid w:val="00095FA1"/>
    <w:rsid w:val="000A1BA9"/>
    <w:rsid w:val="000A6B6E"/>
    <w:rsid w:val="000B5015"/>
    <w:rsid w:val="000B788F"/>
    <w:rsid w:val="000B7C66"/>
    <w:rsid w:val="000D4E36"/>
    <w:rsid w:val="000E62FE"/>
    <w:rsid w:val="00105B8A"/>
    <w:rsid w:val="0011463E"/>
    <w:rsid w:val="001161E4"/>
    <w:rsid w:val="00125A26"/>
    <w:rsid w:val="00146794"/>
    <w:rsid w:val="001472A8"/>
    <w:rsid w:val="0015376F"/>
    <w:rsid w:val="001614E0"/>
    <w:rsid w:val="00171BD8"/>
    <w:rsid w:val="0017653E"/>
    <w:rsid w:val="00182B01"/>
    <w:rsid w:val="001840D2"/>
    <w:rsid w:val="001966D7"/>
    <w:rsid w:val="001C4D2E"/>
    <w:rsid w:val="001C7E35"/>
    <w:rsid w:val="001E15F7"/>
    <w:rsid w:val="001E3C06"/>
    <w:rsid w:val="001F0037"/>
    <w:rsid w:val="001F0BE9"/>
    <w:rsid w:val="00201441"/>
    <w:rsid w:val="00202D79"/>
    <w:rsid w:val="00205D2F"/>
    <w:rsid w:val="00215E8F"/>
    <w:rsid w:val="00221A93"/>
    <w:rsid w:val="002322BB"/>
    <w:rsid w:val="00251254"/>
    <w:rsid w:val="002548D1"/>
    <w:rsid w:val="0027283B"/>
    <w:rsid w:val="0028019B"/>
    <w:rsid w:val="00280861"/>
    <w:rsid w:val="00282E73"/>
    <w:rsid w:val="00283CAB"/>
    <w:rsid w:val="0028525A"/>
    <w:rsid w:val="00286331"/>
    <w:rsid w:val="00290060"/>
    <w:rsid w:val="002A3FEF"/>
    <w:rsid w:val="002B54A6"/>
    <w:rsid w:val="002B763E"/>
    <w:rsid w:val="002D5686"/>
    <w:rsid w:val="002F3EE9"/>
    <w:rsid w:val="00307F76"/>
    <w:rsid w:val="00321FBB"/>
    <w:rsid w:val="00330832"/>
    <w:rsid w:val="003313EA"/>
    <w:rsid w:val="00333FAA"/>
    <w:rsid w:val="003355D7"/>
    <w:rsid w:val="003445CB"/>
    <w:rsid w:val="00356E0D"/>
    <w:rsid w:val="0036201C"/>
    <w:rsid w:val="00376768"/>
    <w:rsid w:val="0037710E"/>
    <w:rsid w:val="00380F87"/>
    <w:rsid w:val="00387A4B"/>
    <w:rsid w:val="003B49F6"/>
    <w:rsid w:val="003C270D"/>
    <w:rsid w:val="003E3FC2"/>
    <w:rsid w:val="003F200F"/>
    <w:rsid w:val="003F3AFD"/>
    <w:rsid w:val="004076C8"/>
    <w:rsid w:val="00411C8C"/>
    <w:rsid w:val="004207E3"/>
    <w:rsid w:val="00421A4C"/>
    <w:rsid w:val="004238C2"/>
    <w:rsid w:val="00435B5D"/>
    <w:rsid w:val="004363F7"/>
    <w:rsid w:val="0044525C"/>
    <w:rsid w:val="00445374"/>
    <w:rsid w:val="004553F1"/>
    <w:rsid w:val="00467596"/>
    <w:rsid w:val="00471C1F"/>
    <w:rsid w:val="004809FA"/>
    <w:rsid w:val="004909FF"/>
    <w:rsid w:val="004C2D09"/>
    <w:rsid w:val="004C4A75"/>
    <w:rsid w:val="004C6ED2"/>
    <w:rsid w:val="004D2DA0"/>
    <w:rsid w:val="004E14A4"/>
    <w:rsid w:val="004F54BD"/>
    <w:rsid w:val="004F56C5"/>
    <w:rsid w:val="00506185"/>
    <w:rsid w:val="0052240E"/>
    <w:rsid w:val="005354D0"/>
    <w:rsid w:val="0054172C"/>
    <w:rsid w:val="0054590F"/>
    <w:rsid w:val="005459EC"/>
    <w:rsid w:val="00563EA4"/>
    <w:rsid w:val="0056536C"/>
    <w:rsid w:val="005718B5"/>
    <w:rsid w:val="005808FB"/>
    <w:rsid w:val="005811F8"/>
    <w:rsid w:val="00582605"/>
    <w:rsid w:val="00591016"/>
    <w:rsid w:val="00592D04"/>
    <w:rsid w:val="005A6525"/>
    <w:rsid w:val="005B3F67"/>
    <w:rsid w:val="005D548F"/>
    <w:rsid w:val="005D6EF5"/>
    <w:rsid w:val="005E3A10"/>
    <w:rsid w:val="005E7509"/>
    <w:rsid w:val="00601D7F"/>
    <w:rsid w:val="00605A4C"/>
    <w:rsid w:val="00645B8B"/>
    <w:rsid w:val="00655044"/>
    <w:rsid w:val="00666922"/>
    <w:rsid w:val="00670F17"/>
    <w:rsid w:val="006710C7"/>
    <w:rsid w:val="006773D9"/>
    <w:rsid w:val="00686F7C"/>
    <w:rsid w:val="00696A83"/>
    <w:rsid w:val="006B34F3"/>
    <w:rsid w:val="006C580A"/>
    <w:rsid w:val="006D1E69"/>
    <w:rsid w:val="006D7FA6"/>
    <w:rsid w:val="006F057C"/>
    <w:rsid w:val="006F22DA"/>
    <w:rsid w:val="006F2EB3"/>
    <w:rsid w:val="00711294"/>
    <w:rsid w:val="007116B1"/>
    <w:rsid w:val="00714BEE"/>
    <w:rsid w:val="00721215"/>
    <w:rsid w:val="007400CF"/>
    <w:rsid w:val="007918CD"/>
    <w:rsid w:val="00795417"/>
    <w:rsid w:val="007B23FC"/>
    <w:rsid w:val="007D0C1D"/>
    <w:rsid w:val="007D2000"/>
    <w:rsid w:val="007D4DBF"/>
    <w:rsid w:val="007E4732"/>
    <w:rsid w:val="007E4922"/>
    <w:rsid w:val="007E4BA4"/>
    <w:rsid w:val="007F004E"/>
    <w:rsid w:val="007F335A"/>
    <w:rsid w:val="008022AB"/>
    <w:rsid w:val="00803104"/>
    <w:rsid w:val="00812901"/>
    <w:rsid w:val="00826B9A"/>
    <w:rsid w:val="00842757"/>
    <w:rsid w:val="00843CC2"/>
    <w:rsid w:val="0085266D"/>
    <w:rsid w:val="008A5AA0"/>
    <w:rsid w:val="008E224D"/>
    <w:rsid w:val="008F7E0D"/>
    <w:rsid w:val="009210BB"/>
    <w:rsid w:val="0092530B"/>
    <w:rsid w:val="00926196"/>
    <w:rsid w:val="009341A6"/>
    <w:rsid w:val="0094208C"/>
    <w:rsid w:val="00942F17"/>
    <w:rsid w:val="00943236"/>
    <w:rsid w:val="00952CEF"/>
    <w:rsid w:val="00953855"/>
    <w:rsid w:val="00955421"/>
    <w:rsid w:val="009701D3"/>
    <w:rsid w:val="00990E9C"/>
    <w:rsid w:val="00994542"/>
    <w:rsid w:val="00994908"/>
    <w:rsid w:val="009B160B"/>
    <w:rsid w:val="009B7A40"/>
    <w:rsid w:val="009C237B"/>
    <w:rsid w:val="009C4DD1"/>
    <w:rsid w:val="009D761F"/>
    <w:rsid w:val="009E5A93"/>
    <w:rsid w:val="009F3154"/>
    <w:rsid w:val="009F7C2F"/>
    <w:rsid w:val="00A1211C"/>
    <w:rsid w:val="00A20113"/>
    <w:rsid w:val="00A20D78"/>
    <w:rsid w:val="00A2215F"/>
    <w:rsid w:val="00A22839"/>
    <w:rsid w:val="00A23E19"/>
    <w:rsid w:val="00A33185"/>
    <w:rsid w:val="00A53B04"/>
    <w:rsid w:val="00A603EB"/>
    <w:rsid w:val="00A661F4"/>
    <w:rsid w:val="00A66326"/>
    <w:rsid w:val="00A7271A"/>
    <w:rsid w:val="00A74D79"/>
    <w:rsid w:val="00A81E19"/>
    <w:rsid w:val="00A9723B"/>
    <w:rsid w:val="00AA7EEA"/>
    <w:rsid w:val="00AB795F"/>
    <w:rsid w:val="00AC5733"/>
    <w:rsid w:val="00AC6312"/>
    <w:rsid w:val="00AD1E77"/>
    <w:rsid w:val="00AD6D80"/>
    <w:rsid w:val="00B1160D"/>
    <w:rsid w:val="00B139FB"/>
    <w:rsid w:val="00B444E6"/>
    <w:rsid w:val="00B47E7C"/>
    <w:rsid w:val="00B52011"/>
    <w:rsid w:val="00B53EFF"/>
    <w:rsid w:val="00B54AFA"/>
    <w:rsid w:val="00B671A4"/>
    <w:rsid w:val="00B804E8"/>
    <w:rsid w:val="00B965E2"/>
    <w:rsid w:val="00BB37F6"/>
    <w:rsid w:val="00BC206C"/>
    <w:rsid w:val="00BC431A"/>
    <w:rsid w:val="00BF5AFA"/>
    <w:rsid w:val="00C01A35"/>
    <w:rsid w:val="00C03772"/>
    <w:rsid w:val="00C04EDA"/>
    <w:rsid w:val="00C119A2"/>
    <w:rsid w:val="00C35A77"/>
    <w:rsid w:val="00C52405"/>
    <w:rsid w:val="00C53F1A"/>
    <w:rsid w:val="00C57267"/>
    <w:rsid w:val="00C616FF"/>
    <w:rsid w:val="00C62B63"/>
    <w:rsid w:val="00C72B5B"/>
    <w:rsid w:val="00C869F3"/>
    <w:rsid w:val="00C91294"/>
    <w:rsid w:val="00CC18AC"/>
    <w:rsid w:val="00CC38EB"/>
    <w:rsid w:val="00CD7D5D"/>
    <w:rsid w:val="00CF0621"/>
    <w:rsid w:val="00CF0FC4"/>
    <w:rsid w:val="00CF6932"/>
    <w:rsid w:val="00D01FE3"/>
    <w:rsid w:val="00D02CDC"/>
    <w:rsid w:val="00D0381E"/>
    <w:rsid w:val="00D06CA3"/>
    <w:rsid w:val="00D07F46"/>
    <w:rsid w:val="00D170E5"/>
    <w:rsid w:val="00D37F2F"/>
    <w:rsid w:val="00D415B9"/>
    <w:rsid w:val="00D528E8"/>
    <w:rsid w:val="00D65B8B"/>
    <w:rsid w:val="00D771D0"/>
    <w:rsid w:val="00D817BF"/>
    <w:rsid w:val="00D835CF"/>
    <w:rsid w:val="00DA176F"/>
    <w:rsid w:val="00DA26FB"/>
    <w:rsid w:val="00DA36BE"/>
    <w:rsid w:val="00DB6C3D"/>
    <w:rsid w:val="00DC5ACF"/>
    <w:rsid w:val="00DD3573"/>
    <w:rsid w:val="00DD7468"/>
    <w:rsid w:val="00DE25E9"/>
    <w:rsid w:val="00DE71D3"/>
    <w:rsid w:val="00DE72CF"/>
    <w:rsid w:val="00DF08A0"/>
    <w:rsid w:val="00DF318F"/>
    <w:rsid w:val="00E04288"/>
    <w:rsid w:val="00E13BEF"/>
    <w:rsid w:val="00E70760"/>
    <w:rsid w:val="00E768AD"/>
    <w:rsid w:val="00E86BC4"/>
    <w:rsid w:val="00E9253C"/>
    <w:rsid w:val="00EB3CF0"/>
    <w:rsid w:val="00EB45B5"/>
    <w:rsid w:val="00EB5E57"/>
    <w:rsid w:val="00EB61DB"/>
    <w:rsid w:val="00ED1AD0"/>
    <w:rsid w:val="00ED3786"/>
    <w:rsid w:val="00ED4AFD"/>
    <w:rsid w:val="00ED6776"/>
    <w:rsid w:val="00EE4FBE"/>
    <w:rsid w:val="00F038A1"/>
    <w:rsid w:val="00F06E4E"/>
    <w:rsid w:val="00F12904"/>
    <w:rsid w:val="00F238E0"/>
    <w:rsid w:val="00F4617D"/>
    <w:rsid w:val="00F51E01"/>
    <w:rsid w:val="00F5649A"/>
    <w:rsid w:val="00F67DC5"/>
    <w:rsid w:val="00F82342"/>
    <w:rsid w:val="00F877DB"/>
    <w:rsid w:val="00F91AE4"/>
    <w:rsid w:val="00F93C8B"/>
    <w:rsid w:val="00F959DD"/>
    <w:rsid w:val="00F960D5"/>
    <w:rsid w:val="00FB1231"/>
    <w:rsid w:val="00FC1C5C"/>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Heading4Char">
    <w:name w:val="Heading 4 Char"/>
    <w:basedOn w:val="DefaultParagraphFont"/>
    <w:link w:val="Heading4"/>
    <w:rsid w:val="00953855"/>
    <w:rPr>
      <w:rFonts w:ascii="Arial" w:hAnsi="Arial" w:cs="Arial"/>
      <w:b/>
      <w:sz w:val="24"/>
      <w:lang w:eastAsia="en-US"/>
    </w:rPr>
  </w:style>
  <w:style w:type="paragraph" w:styleId="PlainText">
    <w:name w:val="Plain Text"/>
    <w:basedOn w:val="Normal"/>
    <w:link w:val="PlainTextChar"/>
    <w:uiPriority w:val="99"/>
    <w:semiHidden/>
    <w:unhideWhenUsed/>
    <w:rsid w:val="0095385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3855"/>
    <w:rPr>
      <w:rFonts w:ascii="Calibri" w:eastAsiaTheme="minorHAnsi" w:hAnsi="Calibri" w:cstheme="minorBidi"/>
      <w:sz w:val="22"/>
      <w:szCs w:val="21"/>
      <w:lang w:eastAsia="en-US"/>
    </w:rPr>
  </w:style>
  <w:style w:type="paragraph" w:customStyle="1" w:styleId="Pa81">
    <w:name w:val="Pa8+1"/>
    <w:basedOn w:val="Normal"/>
    <w:next w:val="Normal"/>
    <w:uiPriority w:val="99"/>
    <w:rsid w:val="00953855"/>
    <w:pPr>
      <w:autoSpaceDE w:val="0"/>
      <w:autoSpaceDN w:val="0"/>
      <w:adjustRightInd w:val="0"/>
      <w:spacing w:line="211" w:lineRule="atLeast"/>
    </w:pPr>
    <w:rPr>
      <w:rFonts w:ascii="Gill Sans MT" w:hAnsi="Gill Sans MT"/>
      <w:szCs w:val="24"/>
      <w:lang w:eastAsia="en-GB"/>
    </w:rPr>
  </w:style>
  <w:style w:type="paragraph" w:customStyle="1" w:styleId="Pa171">
    <w:name w:val="Pa17+1"/>
    <w:basedOn w:val="Normal"/>
    <w:next w:val="Normal"/>
    <w:uiPriority w:val="99"/>
    <w:rsid w:val="00953855"/>
    <w:pPr>
      <w:autoSpaceDE w:val="0"/>
      <w:autoSpaceDN w:val="0"/>
      <w:adjustRightInd w:val="0"/>
      <w:spacing w:line="211" w:lineRule="atLeast"/>
    </w:pPr>
    <w:rPr>
      <w:rFonts w:ascii="Gill Sans MT" w:hAnsi="Gill Sans MT"/>
      <w:szCs w:val="24"/>
      <w:lang w:eastAsia="en-GB"/>
    </w:rPr>
  </w:style>
  <w:style w:type="paragraph" w:customStyle="1" w:styleId="Pa181">
    <w:name w:val="Pa18+1"/>
    <w:basedOn w:val="Normal"/>
    <w:next w:val="Normal"/>
    <w:uiPriority w:val="99"/>
    <w:rsid w:val="00953855"/>
    <w:pPr>
      <w:autoSpaceDE w:val="0"/>
      <w:autoSpaceDN w:val="0"/>
      <w:adjustRightInd w:val="0"/>
      <w:spacing w:line="211" w:lineRule="atLeast"/>
    </w:pPr>
    <w:rPr>
      <w:rFonts w:ascii="Gill Sans MT" w:hAnsi="Gill Sans MT"/>
      <w:szCs w:val="24"/>
      <w:lang w:eastAsia="en-GB"/>
    </w:rPr>
  </w:style>
  <w:style w:type="character" w:customStyle="1" w:styleId="A61">
    <w:name w:val="A6+1"/>
    <w:uiPriority w:val="99"/>
    <w:rsid w:val="00953855"/>
    <w:rPr>
      <w:rFonts w:ascii="Gill Sans MT" w:hAnsi="Gill Sans MT" w:cs="Gill Sans MT" w:hint="default"/>
      <w:color w:val="000000"/>
      <w:sz w:val="23"/>
      <w:szCs w:val="23"/>
    </w:rPr>
  </w:style>
  <w:style w:type="character" w:styleId="CommentReference">
    <w:name w:val="annotation reference"/>
    <w:basedOn w:val="DefaultParagraphFont"/>
    <w:semiHidden/>
    <w:unhideWhenUsed/>
    <w:rsid w:val="00ED3786"/>
    <w:rPr>
      <w:sz w:val="16"/>
      <w:szCs w:val="16"/>
    </w:rPr>
  </w:style>
  <w:style w:type="paragraph" w:styleId="CommentText">
    <w:name w:val="annotation text"/>
    <w:basedOn w:val="Normal"/>
    <w:link w:val="CommentTextChar"/>
    <w:unhideWhenUsed/>
    <w:rsid w:val="00ED3786"/>
    <w:rPr>
      <w:sz w:val="20"/>
    </w:rPr>
  </w:style>
  <w:style w:type="character" w:customStyle="1" w:styleId="CommentTextChar">
    <w:name w:val="Comment Text Char"/>
    <w:basedOn w:val="DefaultParagraphFont"/>
    <w:link w:val="CommentText"/>
    <w:rsid w:val="00ED3786"/>
    <w:rPr>
      <w:rFonts w:ascii="Arial" w:hAnsi="Arial"/>
      <w:lang w:eastAsia="en-US"/>
    </w:rPr>
  </w:style>
  <w:style w:type="paragraph" w:styleId="CommentSubject">
    <w:name w:val="annotation subject"/>
    <w:basedOn w:val="CommentText"/>
    <w:next w:val="CommentText"/>
    <w:link w:val="CommentSubjectChar"/>
    <w:semiHidden/>
    <w:unhideWhenUsed/>
    <w:rsid w:val="00ED3786"/>
    <w:rPr>
      <w:b/>
      <w:bCs/>
    </w:rPr>
  </w:style>
  <w:style w:type="character" w:customStyle="1" w:styleId="CommentSubjectChar">
    <w:name w:val="Comment Subject Char"/>
    <w:basedOn w:val="CommentTextChar"/>
    <w:link w:val="CommentSubject"/>
    <w:semiHidden/>
    <w:rsid w:val="00ED3786"/>
    <w:rPr>
      <w:rFonts w:ascii="Arial" w:hAnsi="Arial"/>
      <w:b/>
      <w:bCs/>
      <w:lang w:eastAsia="en-US"/>
    </w:rPr>
  </w:style>
  <w:style w:type="character" w:styleId="Emphasis">
    <w:name w:val="Emphasis"/>
    <w:basedOn w:val="DefaultParagraphFont"/>
    <w:qFormat/>
    <w:rsid w:val="00CC3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5632910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8920283">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43686479">
      <w:bodyDiv w:val="1"/>
      <w:marLeft w:val="0"/>
      <w:marRight w:val="0"/>
      <w:marTop w:val="0"/>
      <w:marBottom w:val="0"/>
      <w:divBdr>
        <w:top w:val="none" w:sz="0" w:space="0" w:color="auto"/>
        <w:left w:val="none" w:sz="0" w:space="0" w:color="auto"/>
        <w:bottom w:val="none" w:sz="0" w:space="0" w:color="auto"/>
        <w:right w:val="none" w:sz="0" w:space="0" w:color="auto"/>
      </w:divBdr>
    </w:div>
    <w:div w:id="1682858680">
      <w:bodyDiv w:val="1"/>
      <w:marLeft w:val="0"/>
      <w:marRight w:val="0"/>
      <w:marTop w:val="0"/>
      <w:marBottom w:val="0"/>
      <w:divBdr>
        <w:top w:val="none" w:sz="0" w:space="0" w:color="auto"/>
        <w:left w:val="none" w:sz="0" w:space="0" w:color="auto"/>
        <w:bottom w:val="none" w:sz="0" w:space="0" w:color="auto"/>
        <w:right w:val="none" w:sz="0" w:space="0" w:color="auto"/>
      </w:divBdr>
    </w:div>
    <w:div w:id="21012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cy.haile@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purl.org/dc/dcmitype/"/>
    <ds:schemaRef ds:uri="http://schemas.microsoft.com/office/infopath/2007/PartnerControls"/>
    <ds:schemaRef ds:uri="48fdd5af-7127-4349-9ef8-8ec3aedfe79a"/>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FBF1C-04A2-4CC5-8441-97E6DD30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2346</Words>
  <Characters>12737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4</cp:revision>
  <cp:lastPrinted>2014-10-31T16:34:00Z</cp:lastPrinted>
  <dcterms:created xsi:type="dcterms:W3CDTF">2021-09-15T13:33:00Z</dcterms:created>
  <dcterms:modified xsi:type="dcterms:W3CDTF">2021-09-15T14:51:00Z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