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5E02880" w:rsidR="00A160B2" w:rsidRDefault="00BA36E3" w:rsidP="006C3150">
            <w:pPr>
              <w:pStyle w:val="Infotext"/>
              <w:rPr>
                <w:rFonts w:cs="Arial"/>
              </w:rPr>
            </w:pPr>
            <w:r>
              <w:rPr>
                <w:rFonts w:cs="Arial"/>
              </w:rPr>
              <w:t>2</w:t>
            </w:r>
            <w:r w:rsidR="00795708">
              <w:rPr>
                <w:rFonts w:cs="Arial"/>
              </w:rPr>
              <w:t>9 March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37E761E" w:rsidR="00A160B2" w:rsidRDefault="00BA36E3" w:rsidP="006C3150">
            <w:pPr>
              <w:pStyle w:val="Infotext"/>
              <w:rPr>
                <w:rFonts w:cs="Arial"/>
              </w:rPr>
            </w:pPr>
            <w:r>
              <w:rPr>
                <w:rFonts w:cs="Arial"/>
              </w:rPr>
              <w:t>Responsible Investment Policy</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C873B59" w14:textId="47A381B6" w:rsidR="00A160B2" w:rsidRDefault="00BA36E3" w:rsidP="00BA36E3">
            <w:pPr>
              <w:jc w:val="both"/>
              <w:rPr>
                <w:rFonts w:cs="Arial"/>
              </w:rPr>
            </w:pPr>
            <w:r>
              <w:rPr>
                <w:rFonts w:cs="Arial"/>
                <w:sz w:val="28"/>
                <w:szCs w:val="28"/>
              </w:rPr>
              <w:t>No</w:t>
            </w: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Default="00180D94"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A054AFD" w14:textId="71EDA3C6" w:rsidR="00922249" w:rsidRDefault="006475EA" w:rsidP="006C3150">
            <w:pPr>
              <w:pStyle w:val="Infotext"/>
              <w:rPr>
                <w:rFonts w:cs="Arial"/>
                <w:szCs w:val="24"/>
              </w:rPr>
            </w:pPr>
            <w:r w:rsidRPr="00591637">
              <w:rPr>
                <w:rFonts w:cs="Arial"/>
                <w:b/>
                <w:bCs/>
                <w:szCs w:val="24"/>
              </w:rPr>
              <w:t>Appendix 1</w:t>
            </w:r>
            <w:r w:rsidRPr="002773EC">
              <w:rPr>
                <w:rFonts w:cs="Arial"/>
                <w:szCs w:val="24"/>
              </w:rPr>
              <w:t xml:space="preserve"> –</w:t>
            </w:r>
            <w:r w:rsidR="000D300F">
              <w:rPr>
                <w:rFonts w:cs="Arial"/>
                <w:szCs w:val="24"/>
              </w:rPr>
              <w:t xml:space="preserve"> </w:t>
            </w:r>
            <w:r w:rsidR="00591637">
              <w:rPr>
                <w:rFonts w:cs="Arial"/>
                <w:szCs w:val="24"/>
              </w:rPr>
              <w:t>D</w:t>
            </w:r>
            <w:r w:rsidR="000D300F">
              <w:rPr>
                <w:rFonts w:cs="Arial"/>
                <w:szCs w:val="24"/>
              </w:rPr>
              <w:t xml:space="preserve">raft </w:t>
            </w:r>
            <w:r w:rsidR="00BA36E3">
              <w:rPr>
                <w:rFonts w:cs="Arial"/>
                <w:szCs w:val="24"/>
              </w:rPr>
              <w:t>Responsible Investment Policy</w:t>
            </w:r>
            <w:r w:rsidR="007D3A46">
              <w:rPr>
                <w:rFonts w:cs="Arial"/>
                <w:szCs w:val="24"/>
              </w:rPr>
              <w:t xml:space="preserve"> </w:t>
            </w:r>
          </w:p>
          <w:p w14:paraId="4E3201B0" w14:textId="77777777" w:rsidR="00591637" w:rsidRDefault="00591637" w:rsidP="00795708">
            <w:pPr>
              <w:pStyle w:val="Infotext"/>
              <w:rPr>
                <w:b/>
                <w:bCs/>
              </w:rPr>
            </w:pPr>
          </w:p>
          <w:p w14:paraId="4C232B02" w14:textId="44B0D040" w:rsidR="00795708" w:rsidRDefault="00795708" w:rsidP="00795708">
            <w:pPr>
              <w:pStyle w:val="Infotext"/>
            </w:pPr>
            <w:r w:rsidRPr="00591637">
              <w:rPr>
                <w:b/>
                <w:bCs/>
              </w:rPr>
              <w:t>Appendix 2</w:t>
            </w:r>
            <w:r>
              <w:t xml:space="preserve"> – Investment Strategy Statement</w:t>
            </w: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188774C0" w14:textId="534DDCB7" w:rsidR="006475EA" w:rsidRDefault="00BA36E3" w:rsidP="00591637">
            <w:pPr>
              <w:jc w:val="both"/>
              <w:rPr>
                <w:rFonts w:cs="Arial"/>
                <w:szCs w:val="24"/>
              </w:rPr>
            </w:pPr>
            <w:r>
              <w:t xml:space="preserve">Further to </w:t>
            </w:r>
            <w:r w:rsidR="00795708">
              <w:t xml:space="preserve">previous discussions, </w:t>
            </w:r>
            <w:r>
              <w:t>t</w:t>
            </w:r>
            <w:r w:rsidR="006475EA">
              <w:t xml:space="preserve">his report </w:t>
            </w:r>
            <w:r>
              <w:t xml:space="preserve">includes a draft Responsible Investment Policy </w:t>
            </w:r>
            <w:r w:rsidR="00795708">
              <w:t xml:space="preserve">and updated Investment Strategy Statement </w:t>
            </w:r>
            <w:r>
              <w:t xml:space="preserve">for </w:t>
            </w:r>
            <w:r w:rsidR="006475EA">
              <w:t xml:space="preserve">the Committee </w:t>
            </w:r>
            <w:r>
              <w:t>to consider and approve.</w:t>
            </w:r>
            <w:r w:rsidR="006475EA">
              <w:rPr>
                <w:rFonts w:cs="Arial"/>
                <w:szCs w:val="24"/>
              </w:rPr>
              <w:t xml:space="preserve"> </w:t>
            </w:r>
          </w:p>
          <w:p w14:paraId="2049D9D5" w14:textId="40BBB841" w:rsidR="00E2344F" w:rsidRDefault="00E2344F" w:rsidP="00E2344F">
            <w:pPr>
              <w:pStyle w:val="Heading2"/>
              <w:rPr>
                <w:sz w:val="28"/>
                <w:szCs w:val="28"/>
              </w:rPr>
            </w:pPr>
            <w:r w:rsidRPr="00E2344F">
              <w:rPr>
                <w:sz w:val="28"/>
                <w:szCs w:val="28"/>
              </w:rPr>
              <w:t xml:space="preserve">Recommendations: </w:t>
            </w:r>
          </w:p>
          <w:p w14:paraId="7C98761E" w14:textId="77777777" w:rsidR="00591637" w:rsidRPr="00591637" w:rsidRDefault="00591637" w:rsidP="00591637"/>
          <w:p w14:paraId="0CF8C3E2" w14:textId="1DBD12EC" w:rsidR="007D3A46" w:rsidRDefault="00E2344F" w:rsidP="00E2344F">
            <w:r>
              <w:t xml:space="preserve">The Committee is recommended </w:t>
            </w:r>
            <w:r w:rsidR="00922249">
              <w:t xml:space="preserve">to </w:t>
            </w:r>
            <w:r w:rsidR="00795708">
              <w:t>approve</w:t>
            </w:r>
            <w:r w:rsidR="00591637">
              <w:t>:</w:t>
            </w:r>
          </w:p>
          <w:p w14:paraId="798BB189" w14:textId="77777777" w:rsidR="00591637" w:rsidRDefault="00591637" w:rsidP="00E2344F"/>
          <w:p w14:paraId="09B72205" w14:textId="7FF85B4D" w:rsidR="007D3A46" w:rsidRDefault="007D3A46" w:rsidP="00591637">
            <w:pPr>
              <w:pStyle w:val="ListParagraph"/>
              <w:numPr>
                <w:ilvl w:val="0"/>
                <w:numId w:val="29"/>
              </w:numPr>
              <w:ind w:left="360"/>
              <w:rPr>
                <w:sz w:val="24"/>
                <w:szCs w:val="24"/>
              </w:rPr>
            </w:pPr>
            <w:r w:rsidRPr="007D42A4">
              <w:rPr>
                <w:sz w:val="24"/>
                <w:szCs w:val="24"/>
              </w:rPr>
              <w:t xml:space="preserve">the </w:t>
            </w:r>
            <w:r w:rsidR="000D300F">
              <w:rPr>
                <w:sz w:val="24"/>
                <w:szCs w:val="24"/>
              </w:rPr>
              <w:t xml:space="preserve">draft </w:t>
            </w:r>
            <w:r w:rsidR="00BA36E3">
              <w:rPr>
                <w:sz w:val="24"/>
                <w:szCs w:val="24"/>
              </w:rPr>
              <w:t>Responsible Investment Policy</w:t>
            </w:r>
            <w:r w:rsidRPr="007D42A4">
              <w:rPr>
                <w:sz w:val="24"/>
                <w:szCs w:val="24"/>
              </w:rPr>
              <w:t xml:space="preserve"> </w:t>
            </w:r>
            <w:r w:rsidR="00795708">
              <w:rPr>
                <w:sz w:val="24"/>
                <w:szCs w:val="24"/>
              </w:rPr>
              <w:t>attached at Appendix 1</w:t>
            </w:r>
          </w:p>
          <w:p w14:paraId="75D3834B" w14:textId="77777777" w:rsidR="00591637" w:rsidRPr="007D42A4" w:rsidRDefault="00591637" w:rsidP="00591637">
            <w:pPr>
              <w:pStyle w:val="ListParagraph"/>
              <w:ind w:left="360"/>
              <w:rPr>
                <w:sz w:val="24"/>
                <w:szCs w:val="24"/>
              </w:rPr>
            </w:pPr>
          </w:p>
          <w:p w14:paraId="0F498BB1" w14:textId="77777777" w:rsidR="00A160B2" w:rsidRDefault="00BA36E3" w:rsidP="00591637">
            <w:pPr>
              <w:pStyle w:val="ListParagraph"/>
              <w:numPr>
                <w:ilvl w:val="0"/>
                <w:numId w:val="29"/>
              </w:numPr>
              <w:ind w:left="360"/>
            </w:pPr>
            <w:r>
              <w:rPr>
                <w:sz w:val="24"/>
                <w:szCs w:val="24"/>
              </w:rPr>
              <w:t xml:space="preserve">the </w:t>
            </w:r>
            <w:r w:rsidR="00795708">
              <w:rPr>
                <w:sz w:val="24"/>
                <w:szCs w:val="24"/>
              </w:rPr>
              <w:t xml:space="preserve">updated </w:t>
            </w:r>
            <w:r w:rsidR="006B7849">
              <w:rPr>
                <w:sz w:val="24"/>
                <w:szCs w:val="24"/>
              </w:rPr>
              <w:t>Investment Strategy Statement</w:t>
            </w:r>
            <w:r w:rsidR="00795708">
              <w:rPr>
                <w:sz w:val="24"/>
                <w:szCs w:val="24"/>
              </w:rPr>
              <w:t xml:space="preserve"> at Appendix 2</w:t>
            </w:r>
            <w:r w:rsidR="007D3A46">
              <w:t>.</w:t>
            </w:r>
            <w:r w:rsidR="00A160B2">
              <w:t xml:space="preserve">  </w:t>
            </w:r>
          </w:p>
          <w:p w14:paraId="3E36D3BE" w14:textId="77777777" w:rsidR="00591637" w:rsidRDefault="00591637" w:rsidP="00591637"/>
          <w:p w14:paraId="589A42B3" w14:textId="77777777" w:rsidR="00591637" w:rsidRDefault="00591637" w:rsidP="00591637"/>
          <w:p w14:paraId="11F6B649" w14:textId="77777777" w:rsidR="00591637" w:rsidRDefault="00591637" w:rsidP="00591637"/>
          <w:p w14:paraId="714CBDEE" w14:textId="30FDC18B" w:rsidR="00591637" w:rsidRDefault="00591637" w:rsidP="00591637"/>
        </w:tc>
      </w:tr>
    </w:tbl>
    <w:p w14:paraId="53DC7DE2" w14:textId="36DB607C" w:rsidR="002A2389" w:rsidRDefault="002A2389" w:rsidP="00A160B2">
      <w:pPr>
        <w:pStyle w:val="Heading2"/>
      </w:pPr>
      <w:r>
        <w:lastRenderedPageBreak/>
        <w:t>Section 2 – Report</w:t>
      </w:r>
    </w:p>
    <w:p w14:paraId="1911551C" w14:textId="77777777" w:rsidR="00E2344F" w:rsidRPr="00E2344F" w:rsidRDefault="00E2344F" w:rsidP="00E2344F"/>
    <w:p w14:paraId="7F6EB7DB" w14:textId="77777777" w:rsidR="0056613F" w:rsidRDefault="0056613F" w:rsidP="0056613F">
      <w:pPr>
        <w:ind w:left="284"/>
        <w:jc w:val="both"/>
      </w:pPr>
      <w:bookmarkStart w:id="0" w:name="_Hlk74148209"/>
    </w:p>
    <w:p w14:paraId="7DBAC65C" w14:textId="59F4FFD4" w:rsidR="00897B4F" w:rsidRPr="00795708" w:rsidRDefault="007D3A46" w:rsidP="00940309">
      <w:pPr>
        <w:numPr>
          <w:ilvl w:val="0"/>
          <w:numId w:val="16"/>
        </w:numPr>
        <w:tabs>
          <w:tab w:val="clear" w:pos="584"/>
          <w:tab w:val="num" w:pos="284"/>
        </w:tabs>
        <w:ind w:left="284" w:hanging="284"/>
        <w:jc w:val="both"/>
      </w:pPr>
      <w:r>
        <w:rPr>
          <w:rFonts w:cs="Arial"/>
          <w:szCs w:val="24"/>
        </w:rPr>
        <w:t xml:space="preserve">The </w:t>
      </w:r>
      <w:r w:rsidR="00897B4F">
        <w:rPr>
          <w:rFonts w:cs="Arial"/>
          <w:szCs w:val="24"/>
        </w:rPr>
        <w:t>LGPS (Investment and Management of Funds) Regulations 2016 set the framework within which LGPS pension funds are required to manage their investments. They are required to have an Investment Strategy Statement (ISS) – which sets out how the Fund will manage and invest its assets to enable it to meet its Funding Strategy.</w:t>
      </w:r>
    </w:p>
    <w:p w14:paraId="27075962" w14:textId="77777777" w:rsidR="00795708" w:rsidRPr="00897B4F" w:rsidRDefault="00795708" w:rsidP="00795708">
      <w:pPr>
        <w:ind w:left="284"/>
        <w:jc w:val="both"/>
      </w:pPr>
    </w:p>
    <w:p w14:paraId="0F80347C" w14:textId="7124CD9C" w:rsidR="00936E7E" w:rsidRPr="00936E7E" w:rsidRDefault="00897B4F" w:rsidP="00940309">
      <w:pPr>
        <w:numPr>
          <w:ilvl w:val="0"/>
          <w:numId w:val="16"/>
        </w:numPr>
        <w:tabs>
          <w:tab w:val="clear" w:pos="584"/>
          <w:tab w:val="num" w:pos="284"/>
        </w:tabs>
        <w:ind w:left="284" w:hanging="284"/>
        <w:jc w:val="both"/>
      </w:pPr>
      <w:r>
        <w:rPr>
          <w:rFonts w:cs="Arial"/>
          <w:szCs w:val="24"/>
        </w:rPr>
        <w:t xml:space="preserve">The Regulations include a requirement for funds to have a policy setting out how environmental, social and governance (ESG) considerations are </w:t>
      </w:r>
      <w:proofErr w:type="gramStart"/>
      <w:r>
        <w:rPr>
          <w:rFonts w:cs="Arial"/>
          <w:szCs w:val="24"/>
        </w:rPr>
        <w:t>taken into account</w:t>
      </w:r>
      <w:proofErr w:type="gramEnd"/>
      <w:r>
        <w:rPr>
          <w:rFonts w:cs="Arial"/>
          <w:szCs w:val="24"/>
        </w:rPr>
        <w:t xml:space="preserve"> in the selection, non-selection, retention and realisation of investments.  </w:t>
      </w:r>
      <w:r w:rsidR="00936E7E">
        <w:rPr>
          <w:rFonts w:cs="Arial"/>
          <w:szCs w:val="24"/>
        </w:rPr>
        <w:t>For LBH</w:t>
      </w:r>
      <w:r>
        <w:rPr>
          <w:rFonts w:cs="Arial"/>
          <w:szCs w:val="24"/>
        </w:rPr>
        <w:t>,</w:t>
      </w:r>
      <w:r w:rsidR="00936E7E">
        <w:rPr>
          <w:rFonts w:cs="Arial"/>
          <w:szCs w:val="24"/>
        </w:rPr>
        <w:t xml:space="preserve"> </w:t>
      </w:r>
      <w:r w:rsidR="00795708">
        <w:rPr>
          <w:rFonts w:cs="Arial"/>
          <w:szCs w:val="24"/>
        </w:rPr>
        <w:t xml:space="preserve">to date </w:t>
      </w:r>
      <w:r w:rsidR="00936E7E">
        <w:rPr>
          <w:rFonts w:cs="Arial"/>
          <w:szCs w:val="24"/>
        </w:rPr>
        <w:t xml:space="preserve">the Investment Strategy Statement </w:t>
      </w:r>
      <w:r w:rsidR="00795708">
        <w:rPr>
          <w:rFonts w:cs="Arial"/>
          <w:szCs w:val="24"/>
        </w:rPr>
        <w:t xml:space="preserve">has </w:t>
      </w:r>
      <w:r w:rsidR="00936E7E">
        <w:rPr>
          <w:rFonts w:cs="Arial"/>
          <w:szCs w:val="24"/>
        </w:rPr>
        <w:t>contain</w:t>
      </w:r>
      <w:r w:rsidR="00795708">
        <w:rPr>
          <w:rFonts w:cs="Arial"/>
          <w:szCs w:val="24"/>
        </w:rPr>
        <w:t>ed</w:t>
      </w:r>
      <w:r w:rsidR="00936E7E">
        <w:rPr>
          <w:rFonts w:cs="Arial"/>
          <w:szCs w:val="24"/>
        </w:rPr>
        <w:t xml:space="preserve"> that information.</w:t>
      </w:r>
    </w:p>
    <w:p w14:paraId="39E72F15" w14:textId="77777777" w:rsidR="00936E7E" w:rsidRPr="00936E7E" w:rsidRDefault="00936E7E" w:rsidP="00936E7E">
      <w:pPr>
        <w:ind w:left="284"/>
        <w:jc w:val="both"/>
      </w:pPr>
    </w:p>
    <w:p w14:paraId="50F12D5A" w14:textId="76785A82" w:rsidR="00936E7E" w:rsidRPr="00936E7E" w:rsidRDefault="00936E7E" w:rsidP="00940309">
      <w:pPr>
        <w:numPr>
          <w:ilvl w:val="0"/>
          <w:numId w:val="16"/>
        </w:numPr>
        <w:tabs>
          <w:tab w:val="clear" w:pos="584"/>
          <w:tab w:val="num" w:pos="284"/>
        </w:tabs>
        <w:ind w:left="284" w:hanging="284"/>
        <w:jc w:val="both"/>
      </w:pPr>
      <w:r>
        <w:rPr>
          <w:rFonts w:cs="Arial"/>
          <w:szCs w:val="24"/>
        </w:rPr>
        <w:t xml:space="preserve">With growing concern about climate change, a greater awareness of social issues such as working conditions and governance issues including equality, </w:t>
      </w:r>
      <w:proofErr w:type="gramStart"/>
      <w:r>
        <w:rPr>
          <w:rFonts w:cs="Arial"/>
          <w:szCs w:val="24"/>
        </w:rPr>
        <w:t>diversity</w:t>
      </w:r>
      <w:proofErr w:type="gramEnd"/>
      <w:r>
        <w:rPr>
          <w:rFonts w:cs="Arial"/>
          <w:szCs w:val="24"/>
        </w:rPr>
        <w:t xml:space="preserve"> and executive remuneration, it is now considered best practice for LGPS Funds to have a standalone Responsible Investment (RI) Policy. </w:t>
      </w:r>
      <w:r w:rsidR="00D46252">
        <w:rPr>
          <w:rFonts w:cs="Arial"/>
          <w:szCs w:val="24"/>
        </w:rPr>
        <w:t xml:space="preserve">The likely introduction of the recommendations of the Taskforce on Climate-related Financial Disclosures (TCFD) – </w:t>
      </w:r>
      <w:r w:rsidR="00795708">
        <w:rPr>
          <w:rFonts w:cs="Arial"/>
          <w:szCs w:val="24"/>
        </w:rPr>
        <w:t xml:space="preserve">reported to the Committee on 29 November 2022 - </w:t>
      </w:r>
      <w:r w:rsidR="00D46252">
        <w:rPr>
          <w:rFonts w:cs="Arial"/>
          <w:szCs w:val="24"/>
        </w:rPr>
        <w:t>highlights this further.</w:t>
      </w:r>
    </w:p>
    <w:p w14:paraId="4F65BA06" w14:textId="77777777" w:rsidR="00936E7E" w:rsidRDefault="00936E7E" w:rsidP="00936E7E">
      <w:pPr>
        <w:pStyle w:val="ListParagraph"/>
        <w:rPr>
          <w:szCs w:val="24"/>
        </w:rPr>
      </w:pPr>
    </w:p>
    <w:p w14:paraId="22E89694" w14:textId="4963B8FA" w:rsidR="00936E7E" w:rsidRPr="00795708" w:rsidRDefault="00936E7E" w:rsidP="00940309">
      <w:pPr>
        <w:numPr>
          <w:ilvl w:val="0"/>
          <w:numId w:val="16"/>
        </w:numPr>
        <w:tabs>
          <w:tab w:val="clear" w:pos="584"/>
          <w:tab w:val="num" w:pos="284"/>
        </w:tabs>
        <w:ind w:left="284" w:hanging="284"/>
        <w:jc w:val="both"/>
      </w:pPr>
      <w:r>
        <w:rPr>
          <w:rFonts w:cs="Arial"/>
          <w:szCs w:val="24"/>
        </w:rPr>
        <w:t xml:space="preserve">Following discussion at the Fund’s informal briefing session in July 2022, it was agreed that the morning of the “Training and Meet the Manager” day would be devoted to RI training – and accordingly a workshop training session was led by Jennifer O’Neill – an RI specialist from the Fund’s Investment Consultant (Aon). </w:t>
      </w:r>
    </w:p>
    <w:p w14:paraId="7D422C9A" w14:textId="77777777" w:rsidR="00795708" w:rsidRDefault="00795708" w:rsidP="00795708">
      <w:pPr>
        <w:pStyle w:val="ListParagraph"/>
      </w:pPr>
    </w:p>
    <w:p w14:paraId="0E747E3C" w14:textId="600905EE" w:rsidR="00795708" w:rsidRDefault="00795708" w:rsidP="00795708">
      <w:pPr>
        <w:numPr>
          <w:ilvl w:val="0"/>
          <w:numId w:val="16"/>
        </w:numPr>
        <w:tabs>
          <w:tab w:val="clear" w:pos="584"/>
          <w:tab w:val="num" w:pos="284"/>
        </w:tabs>
        <w:ind w:left="284" w:hanging="284"/>
        <w:jc w:val="both"/>
      </w:pPr>
      <w:r>
        <w:t>Following that meeting, the Committee members completed a survey to determine their “Investment Beliefs</w:t>
      </w:r>
      <w:proofErr w:type="gramStart"/>
      <w:r>
        <w:t>”</w:t>
      </w:r>
      <w:proofErr w:type="gramEnd"/>
      <w:r>
        <w:t xml:space="preserve"> and this was used to develop a draft RI Policy, which was considered by the Committee in November 2022.</w:t>
      </w:r>
    </w:p>
    <w:p w14:paraId="7E016F82" w14:textId="77777777" w:rsidR="00795708" w:rsidRDefault="00795708" w:rsidP="00795708">
      <w:pPr>
        <w:pStyle w:val="ListParagraph"/>
      </w:pPr>
    </w:p>
    <w:p w14:paraId="7D6504E3" w14:textId="77716184" w:rsidR="00795708" w:rsidRDefault="00795708" w:rsidP="000D300F">
      <w:pPr>
        <w:numPr>
          <w:ilvl w:val="0"/>
          <w:numId w:val="16"/>
        </w:numPr>
        <w:tabs>
          <w:tab w:val="clear" w:pos="584"/>
          <w:tab w:val="num" w:pos="284"/>
        </w:tabs>
        <w:ind w:left="284" w:hanging="284"/>
        <w:jc w:val="both"/>
      </w:pPr>
      <w:r>
        <w:t>As agreed at that meeting, further work has been undertaken, and a</w:t>
      </w:r>
      <w:r w:rsidR="000D300F">
        <w:t>n updated</w:t>
      </w:r>
      <w:r>
        <w:t xml:space="preserve"> draft policy is now attached </w:t>
      </w:r>
      <w:r w:rsidRPr="00795708">
        <w:rPr>
          <w:b/>
          <w:bCs/>
        </w:rPr>
        <w:t>– appendix 1</w:t>
      </w:r>
      <w:r>
        <w:t>.</w:t>
      </w:r>
      <w:r w:rsidR="000D300F">
        <w:t xml:space="preserve"> </w:t>
      </w:r>
      <w:r>
        <w:t xml:space="preserve">The Policy sets out the Committee’s Investment beliefs, and how these will be translated / implemented via the Investment Strategy. </w:t>
      </w:r>
      <w:r w:rsidR="000D300F">
        <w:t xml:space="preserve">The Committee is asked to approve this document. </w:t>
      </w:r>
    </w:p>
    <w:p w14:paraId="1D90710B" w14:textId="77777777" w:rsidR="000D300F" w:rsidRDefault="000D300F" w:rsidP="000D300F">
      <w:pPr>
        <w:pStyle w:val="ListParagraph"/>
      </w:pPr>
    </w:p>
    <w:p w14:paraId="2D38BE8D" w14:textId="54A19D90" w:rsidR="00795708" w:rsidRDefault="00795708" w:rsidP="000D300F">
      <w:pPr>
        <w:numPr>
          <w:ilvl w:val="0"/>
          <w:numId w:val="16"/>
        </w:numPr>
        <w:tabs>
          <w:tab w:val="clear" w:pos="584"/>
          <w:tab w:val="num" w:pos="284"/>
        </w:tabs>
        <w:ind w:left="284" w:hanging="284"/>
        <w:jc w:val="both"/>
      </w:pPr>
      <w:proofErr w:type="gramStart"/>
      <w:r>
        <w:t>As a consequence of</w:t>
      </w:r>
      <w:proofErr w:type="gramEnd"/>
      <w:r>
        <w:t xml:space="preserve"> the Policy, some changes are required to update the Fund’s Investment </w:t>
      </w:r>
      <w:r w:rsidR="000D300F">
        <w:t>S</w:t>
      </w:r>
      <w:r>
        <w:t xml:space="preserve">trategy Statement – the updated version is attached as </w:t>
      </w:r>
      <w:r w:rsidRPr="000D300F">
        <w:rPr>
          <w:b/>
          <w:bCs/>
        </w:rPr>
        <w:t>appendix 2</w:t>
      </w:r>
      <w:r>
        <w:t>. The changes are highlighted in red</w:t>
      </w:r>
      <w:r w:rsidR="000D300F">
        <w:t xml:space="preserve">, </w:t>
      </w:r>
      <w:proofErr w:type="gramStart"/>
      <w:r w:rsidR="000D300F">
        <w:t>and also</w:t>
      </w:r>
      <w:proofErr w:type="gramEnd"/>
      <w:r w:rsidR="000D300F">
        <w:t xml:space="preserve"> adjust for the change in the Fund’s Emerging Market equities manager</w:t>
      </w:r>
      <w:r>
        <w:t>. The</w:t>
      </w:r>
      <w:r w:rsidR="000D300F">
        <w:t xml:space="preserve"> Committee is also asked to approve this document. </w:t>
      </w:r>
      <w:r>
        <w:t xml:space="preserve"> </w:t>
      </w:r>
    </w:p>
    <w:p w14:paraId="21F14F4A" w14:textId="77777777" w:rsidR="000D300F" w:rsidRDefault="000D300F" w:rsidP="000D300F">
      <w:pPr>
        <w:pStyle w:val="ListParagraph"/>
      </w:pPr>
    </w:p>
    <w:p w14:paraId="0D557189" w14:textId="1FBFC053" w:rsidR="000D300F" w:rsidRDefault="000D300F" w:rsidP="000D300F">
      <w:pPr>
        <w:numPr>
          <w:ilvl w:val="0"/>
          <w:numId w:val="16"/>
        </w:numPr>
        <w:tabs>
          <w:tab w:val="clear" w:pos="584"/>
          <w:tab w:val="num" w:pos="284"/>
        </w:tabs>
        <w:ind w:left="284" w:hanging="284"/>
        <w:jc w:val="both"/>
      </w:pPr>
      <w:r>
        <w:t xml:space="preserve">Both documents were considered by the Pension board at its meeting on 2 March 2023. After asking </w:t>
      </w:r>
      <w:proofErr w:type="gramStart"/>
      <w:r>
        <w:t>a number of</w:t>
      </w:r>
      <w:proofErr w:type="gramEnd"/>
      <w:r>
        <w:t xml:space="preserve"> questions, including about how the section on “Voting and Engagement” would work in practice. After discussions, the Board endorsed the Policy as a helpful development and recommended no changes to the draft. </w:t>
      </w:r>
    </w:p>
    <w:p w14:paraId="61EC8B87" w14:textId="77777777" w:rsidR="000D300F" w:rsidRDefault="000D300F" w:rsidP="000D300F">
      <w:pPr>
        <w:pStyle w:val="ListParagraph"/>
      </w:pPr>
    </w:p>
    <w:p w14:paraId="02F090B8" w14:textId="419E55FD" w:rsidR="000D300F" w:rsidRPr="00936E7E" w:rsidRDefault="000D300F" w:rsidP="000D300F">
      <w:pPr>
        <w:numPr>
          <w:ilvl w:val="0"/>
          <w:numId w:val="16"/>
        </w:numPr>
        <w:tabs>
          <w:tab w:val="clear" w:pos="584"/>
          <w:tab w:val="num" w:pos="284"/>
        </w:tabs>
        <w:ind w:left="284" w:hanging="284"/>
        <w:jc w:val="both"/>
      </w:pPr>
      <w:r>
        <w:t xml:space="preserve">Once approved by the Committee, the documents will be published on the LBH Pension Fund website. </w:t>
      </w:r>
    </w:p>
    <w:bookmarkEnd w:id="0"/>
    <w:p w14:paraId="3469E0D9" w14:textId="621B169D" w:rsidR="00213BE7" w:rsidRDefault="00213BE7" w:rsidP="00213BE7">
      <w:pPr>
        <w:pStyle w:val="Heading2"/>
      </w:pPr>
      <w:r>
        <w:lastRenderedPageBreak/>
        <w:t>Legal Implications</w:t>
      </w:r>
    </w:p>
    <w:p w14:paraId="443F8251" w14:textId="53772BE0" w:rsidR="00180D94" w:rsidRDefault="00180D94" w:rsidP="00180D94"/>
    <w:p w14:paraId="59D7BD99" w14:textId="44918A92" w:rsidR="00BB0DBA" w:rsidRPr="00BB0DBA" w:rsidRDefault="00180D94" w:rsidP="00591637">
      <w:pPr>
        <w:pStyle w:val="ListParagraph"/>
        <w:numPr>
          <w:ilvl w:val="0"/>
          <w:numId w:val="16"/>
        </w:numPr>
        <w:jc w:val="both"/>
        <w:rPr>
          <w:sz w:val="24"/>
          <w:szCs w:val="24"/>
        </w:rPr>
      </w:pPr>
      <w:r w:rsidRPr="00BB0DBA">
        <w:rPr>
          <w:sz w:val="24"/>
          <w:szCs w:val="24"/>
        </w:rPr>
        <w:t>There are no direct legal implications arising from this report.</w:t>
      </w:r>
    </w:p>
    <w:p w14:paraId="1E7DE3C6" w14:textId="77777777" w:rsidR="00BB0DBA" w:rsidRPr="00BB0DBA" w:rsidRDefault="00BB0DBA" w:rsidP="00591637">
      <w:pPr>
        <w:pStyle w:val="ListParagraph"/>
        <w:ind w:left="584"/>
        <w:jc w:val="both"/>
        <w:rPr>
          <w:sz w:val="24"/>
          <w:szCs w:val="24"/>
        </w:rPr>
      </w:pPr>
    </w:p>
    <w:p w14:paraId="50C1063F" w14:textId="3B557E36" w:rsidR="00BB0DBA" w:rsidRPr="00BB0DBA" w:rsidRDefault="00BB0DBA" w:rsidP="00591637">
      <w:pPr>
        <w:pStyle w:val="ListParagraph"/>
        <w:numPr>
          <w:ilvl w:val="0"/>
          <w:numId w:val="16"/>
        </w:numPr>
        <w:jc w:val="both"/>
        <w:rPr>
          <w:sz w:val="24"/>
          <w:szCs w:val="24"/>
        </w:rPr>
      </w:pPr>
      <w:r w:rsidRPr="00BB0DBA">
        <w:rPr>
          <w:color w:val="262626"/>
          <w:sz w:val="24"/>
          <w:szCs w:val="24"/>
          <w:lang w:val="en-US"/>
        </w:rPr>
        <w:t>The Pension Fund Committee has the following powers and duties:</w:t>
      </w:r>
    </w:p>
    <w:p w14:paraId="18197774" w14:textId="77777777" w:rsidR="00BB0DBA" w:rsidRPr="00BB0DBA" w:rsidRDefault="00BB0DBA" w:rsidP="00591637">
      <w:pPr>
        <w:shd w:val="clear" w:color="auto" w:fill="FFFFFF"/>
        <w:jc w:val="both"/>
        <w:rPr>
          <w:rFonts w:cs="Arial"/>
          <w:color w:val="262626"/>
          <w:szCs w:val="24"/>
          <w:lang w:eastAsia="en-GB"/>
        </w:rPr>
      </w:pPr>
      <w:r w:rsidRPr="00BB0DBA">
        <w:rPr>
          <w:rFonts w:cs="Arial"/>
          <w:color w:val="262626"/>
          <w:szCs w:val="24"/>
          <w:lang w:val="en-US" w:eastAsia="en-GB"/>
        </w:rPr>
        <w:t> </w:t>
      </w:r>
    </w:p>
    <w:p w14:paraId="24086B71" w14:textId="5C033DAB"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w:t>
      </w:r>
      <w:r w:rsidRPr="00BB0DBA">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BB0DBA">
        <w:rPr>
          <w:color w:val="262626"/>
          <w:sz w:val="24"/>
          <w:szCs w:val="24"/>
        </w:rPr>
        <w:t>Officer;</w:t>
      </w:r>
      <w:proofErr w:type="gramEnd"/>
    </w:p>
    <w:p w14:paraId="363A93C9" w14:textId="38076E75"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rPr>
        <w:t xml:space="preserve">the determination of applications under the Local Government Superannuation Regulations and the Teachers’ Superannuation </w:t>
      </w:r>
      <w:proofErr w:type="gramStart"/>
      <w:r w:rsidRPr="00BB0DBA">
        <w:rPr>
          <w:color w:val="262626"/>
          <w:sz w:val="24"/>
          <w:szCs w:val="24"/>
        </w:rPr>
        <w:t>Regulations;</w:t>
      </w:r>
      <w:proofErr w:type="gramEnd"/>
    </w:p>
    <w:p w14:paraId="5B3DBFA9" w14:textId="3E6C58F0"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 xml:space="preserve">to administer all matters concerning the Council’s pension investments in accordance with the law and Council </w:t>
      </w:r>
      <w:proofErr w:type="gramStart"/>
      <w:r w:rsidRPr="00BB0DBA">
        <w:rPr>
          <w:color w:val="262626"/>
          <w:sz w:val="24"/>
          <w:szCs w:val="24"/>
          <w:lang w:val="en-US"/>
        </w:rPr>
        <w:t>policy;</w:t>
      </w:r>
      <w:proofErr w:type="gramEnd"/>
    </w:p>
    <w:p w14:paraId="53284317" w14:textId="77777777"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establish a strategy for the disposition of the pension investment portfolio; and</w:t>
      </w:r>
    </w:p>
    <w:p w14:paraId="5357D154" w14:textId="6323FBC7"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 xml:space="preserve">to appoint and determine the investment managers’ delegation of powers of management of the </w:t>
      </w:r>
      <w:proofErr w:type="gramStart"/>
      <w:r w:rsidRPr="00BB0DBA">
        <w:rPr>
          <w:color w:val="262626"/>
          <w:sz w:val="24"/>
          <w:szCs w:val="24"/>
          <w:lang w:val="en-US"/>
        </w:rPr>
        <w:t>fund;</w:t>
      </w:r>
      <w:proofErr w:type="gramEnd"/>
    </w:p>
    <w:p w14:paraId="6DE7C159" w14:textId="3C833031" w:rsidR="00BB0DBA" w:rsidRPr="00BB0DBA" w:rsidRDefault="00BB0DBA" w:rsidP="00591637">
      <w:pPr>
        <w:pStyle w:val="ListParagraph"/>
        <w:numPr>
          <w:ilvl w:val="0"/>
          <w:numId w:val="21"/>
        </w:numPr>
        <w:shd w:val="clear" w:color="auto" w:fill="FFFFFF"/>
        <w:spacing w:after="240"/>
        <w:jc w:val="both"/>
        <w:rPr>
          <w:color w:val="262626"/>
          <w:sz w:val="24"/>
          <w:szCs w:val="24"/>
        </w:rPr>
      </w:pPr>
      <w:r w:rsidRPr="00BB0DBA">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BB0DBA">
        <w:rPr>
          <w:color w:val="262626"/>
          <w:sz w:val="24"/>
          <w:szCs w:val="24"/>
        </w:rPr>
        <w:t>Officers;</w:t>
      </w:r>
      <w:proofErr w:type="gramEnd"/>
    </w:p>
    <w:p w14:paraId="3FEA2084" w14:textId="1C83C69B" w:rsidR="00BB0DBA" w:rsidRPr="00BB0DBA" w:rsidRDefault="00BB0DBA" w:rsidP="00591637">
      <w:pPr>
        <w:pStyle w:val="ListParagraph"/>
        <w:numPr>
          <w:ilvl w:val="0"/>
          <w:numId w:val="21"/>
        </w:numPr>
        <w:shd w:val="clear" w:color="auto" w:fill="FFFFFF"/>
        <w:jc w:val="both"/>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25ACDC34" w14:textId="0D62B9D9" w:rsidR="00BB0DBA" w:rsidRPr="00BB0DBA" w:rsidRDefault="00BB0DBA" w:rsidP="00BB0DBA">
      <w:pPr>
        <w:pStyle w:val="ListParagraph"/>
        <w:tabs>
          <w:tab w:val="left" w:pos="1110"/>
        </w:tabs>
        <w:ind w:left="584"/>
        <w:rPr>
          <w:sz w:val="24"/>
          <w:szCs w:val="24"/>
        </w:rPr>
      </w:pPr>
      <w:r>
        <w:rPr>
          <w:sz w:val="24"/>
          <w:szCs w:val="24"/>
        </w:rPr>
        <w:tab/>
      </w:r>
    </w:p>
    <w:p w14:paraId="41BB405D" w14:textId="77777777" w:rsidR="002A2389" w:rsidRDefault="002A2389" w:rsidP="003D2FFE">
      <w:pPr>
        <w:pStyle w:val="Heading2"/>
        <w:spacing w:after="240"/>
      </w:pPr>
      <w:r>
        <w:t>Financial Implications</w:t>
      </w:r>
    </w:p>
    <w:p w14:paraId="110B0902" w14:textId="4B6E5BE8" w:rsidR="00180D94" w:rsidRDefault="00180D94" w:rsidP="00591637">
      <w:pPr>
        <w:pStyle w:val="ListParagraph"/>
        <w:numPr>
          <w:ilvl w:val="0"/>
          <w:numId w:val="16"/>
        </w:numPr>
        <w:jc w:val="both"/>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63C8B36A" w14:textId="7EFF2D3E" w:rsidR="00591637" w:rsidRDefault="00591637" w:rsidP="00591637">
      <w:pPr>
        <w:jc w:val="both"/>
        <w:rPr>
          <w:szCs w:val="24"/>
        </w:rPr>
      </w:pPr>
    </w:p>
    <w:p w14:paraId="1E77AF7E" w14:textId="709433EF" w:rsidR="00591637" w:rsidRDefault="00591637" w:rsidP="00591637">
      <w:pPr>
        <w:jc w:val="both"/>
        <w:rPr>
          <w:szCs w:val="24"/>
        </w:rPr>
      </w:pPr>
    </w:p>
    <w:p w14:paraId="00995CC0" w14:textId="1687EE38" w:rsidR="00591637" w:rsidRDefault="00591637" w:rsidP="00591637">
      <w:pPr>
        <w:jc w:val="both"/>
        <w:rPr>
          <w:szCs w:val="24"/>
        </w:rPr>
      </w:pPr>
    </w:p>
    <w:p w14:paraId="77CAA439" w14:textId="77777777" w:rsidR="00591637" w:rsidRPr="00591637" w:rsidRDefault="00591637" w:rsidP="00591637">
      <w:pPr>
        <w:jc w:val="both"/>
        <w:rPr>
          <w:szCs w:val="24"/>
        </w:rPr>
      </w:pPr>
    </w:p>
    <w:p w14:paraId="2B95D393" w14:textId="165B0E37" w:rsidR="00180D94" w:rsidRDefault="00C32DAE" w:rsidP="00180D94">
      <w:pPr>
        <w:pStyle w:val="Heading2"/>
        <w:spacing w:after="240"/>
      </w:pPr>
      <w:r>
        <w:lastRenderedPageBreak/>
        <w:t>Risk Management Implications</w:t>
      </w:r>
    </w:p>
    <w:p w14:paraId="6260A6EF" w14:textId="69C07384" w:rsidR="00180D94" w:rsidRPr="003F5AF9" w:rsidRDefault="00180D94" w:rsidP="00591637">
      <w:pPr>
        <w:numPr>
          <w:ilvl w:val="0"/>
          <w:numId w:val="16"/>
        </w:numPr>
        <w:autoSpaceDE w:val="0"/>
        <w:autoSpaceDN w:val="0"/>
        <w:adjustRightInd w:val="0"/>
        <w:ind w:left="425"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w:t>
      </w:r>
      <w:r w:rsidR="00F367C8">
        <w:t xml:space="preserve">most recent </w:t>
      </w:r>
      <w:r>
        <w:t xml:space="preserve">review </w:t>
      </w:r>
      <w:r w:rsidR="00F367C8">
        <w:t>was carried out at the 23 November 2022 meeting of the Committee.</w:t>
      </w:r>
      <w:r>
        <w:t xml:space="preserve"> </w:t>
      </w:r>
    </w:p>
    <w:p w14:paraId="30F113F0" w14:textId="77777777" w:rsidR="00180D94" w:rsidRPr="003F5AF9" w:rsidRDefault="00180D94" w:rsidP="00591637">
      <w:pPr>
        <w:autoSpaceDE w:val="0"/>
        <w:autoSpaceDN w:val="0"/>
        <w:adjustRightInd w:val="0"/>
        <w:ind w:left="425"/>
        <w:jc w:val="both"/>
        <w:rPr>
          <w:rFonts w:cs="Arial"/>
          <w:color w:val="000000"/>
          <w:szCs w:val="24"/>
          <w:lang w:eastAsia="en-GB"/>
        </w:rPr>
      </w:pPr>
    </w:p>
    <w:p w14:paraId="63673B0F" w14:textId="439DDEAF" w:rsidR="00180D94" w:rsidRPr="00180D94" w:rsidRDefault="00180D94" w:rsidP="00591637">
      <w:pPr>
        <w:numPr>
          <w:ilvl w:val="0"/>
          <w:numId w:val="16"/>
        </w:numPr>
        <w:autoSpaceDE w:val="0"/>
        <w:autoSpaceDN w:val="0"/>
        <w:adjustRightInd w:val="0"/>
        <w:ind w:left="425"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 xml:space="preserve">developing the Fund’s investment </w:t>
      </w:r>
      <w:r w:rsidR="00591637" w:rsidRPr="003F5AF9">
        <w:t>strategy</w:t>
      </w:r>
      <w:r w:rsidR="00591637">
        <w:t xml:space="preserve"> and</w:t>
      </w:r>
      <w:r w:rsidR="00D46252">
        <w:t xml:space="preserve"> having </w:t>
      </w:r>
      <w:r w:rsidR="009C19ED">
        <w:t>a Responsible</w:t>
      </w:r>
      <w:r w:rsidR="00D46252">
        <w:t xml:space="preserve"> Investment Policy will assist in managing those risks.</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ECB636F" w14:textId="1A74A5EF" w:rsidR="009C19ED"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7D846CB" w:rsidR="00FD31A0" w:rsidRPr="004A2543" w:rsidRDefault="00180D94" w:rsidP="00591637">
      <w:pPr>
        <w:numPr>
          <w:ilvl w:val="0"/>
          <w:numId w:val="16"/>
        </w:numPr>
        <w:autoSpaceDE w:val="0"/>
        <w:autoSpaceDN w:val="0"/>
        <w:adjustRightInd w:val="0"/>
        <w:ind w:left="425" w:hanging="425"/>
        <w:jc w:val="both"/>
      </w:pPr>
      <w:r w:rsidRPr="003737C1">
        <w:rPr>
          <w:szCs w:val="24"/>
          <w:lang w:val="en-US"/>
        </w:rPr>
        <w:t>The performance of the Pension Fund directly affects the level of employer contribution which then, in turn, affects the resources available for the Council’s priorities</w:t>
      </w:r>
      <w:r w:rsidR="00F22AA0" w:rsidRPr="003737C1">
        <w:rPr>
          <w:szCs w:val="24"/>
          <w:lang w:val="en-US"/>
        </w:rPr>
        <w:t>.</w:t>
      </w:r>
      <w:r>
        <w:t xml:space="preserve"> </w:t>
      </w:r>
    </w:p>
    <w:p w14:paraId="11BF41CC" w14:textId="690AAB53" w:rsidR="002A2389" w:rsidRDefault="002A2389" w:rsidP="00984FCB">
      <w:pPr>
        <w:pStyle w:val="Heading2"/>
        <w:tabs>
          <w:tab w:val="left" w:pos="1250"/>
        </w:tabs>
      </w:pPr>
      <w:r>
        <w:t>Section 3 - Statutory Officer Clearance</w:t>
      </w:r>
    </w:p>
    <w:p w14:paraId="077143F8" w14:textId="77777777" w:rsidR="002A2389" w:rsidRDefault="002A2389" w:rsidP="008D1750">
      <w:pPr>
        <w:keepNext/>
        <w:rPr>
          <w:rFonts w:cs="Arial"/>
        </w:rPr>
      </w:pPr>
    </w:p>
    <w:p w14:paraId="1F493ADE" w14:textId="69913CB1" w:rsidR="00912904" w:rsidRPr="00591637" w:rsidRDefault="00912904" w:rsidP="00912904">
      <w:pPr>
        <w:rPr>
          <w:szCs w:val="24"/>
        </w:rPr>
      </w:pPr>
      <w:r w:rsidRPr="00591637">
        <w:rPr>
          <w:b/>
          <w:szCs w:val="24"/>
        </w:rPr>
        <w:t xml:space="preserve">Statutory Officer:  </w:t>
      </w:r>
      <w:r w:rsidR="00F206EB" w:rsidRPr="00591637">
        <w:rPr>
          <w:b/>
          <w:szCs w:val="24"/>
        </w:rPr>
        <w:t>Dawn Calvert</w:t>
      </w:r>
    </w:p>
    <w:p w14:paraId="57640BD9" w14:textId="0290E35E" w:rsidR="00912904" w:rsidRPr="00591637" w:rsidRDefault="00912904" w:rsidP="00912904">
      <w:pPr>
        <w:rPr>
          <w:szCs w:val="24"/>
        </w:rPr>
      </w:pPr>
      <w:r w:rsidRPr="00591637">
        <w:rPr>
          <w:szCs w:val="24"/>
        </w:rPr>
        <w:t>Signed by the Chief Financial Officer</w:t>
      </w:r>
    </w:p>
    <w:p w14:paraId="5745A2E3" w14:textId="1866D103" w:rsidR="00912904" w:rsidRPr="00591637" w:rsidRDefault="00912904" w:rsidP="00912904">
      <w:pPr>
        <w:spacing w:after="480"/>
        <w:rPr>
          <w:szCs w:val="24"/>
        </w:rPr>
      </w:pPr>
      <w:r w:rsidRPr="00591637">
        <w:rPr>
          <w:b/>
          <w:szCs w:val="24"/>
        </w:rPr>
        <w:t xml:space="preserve">Date:  </w:t>
      </w:r>
      <w:r w:rsidR="00F206EB" w:rsidRPr="00591637">
        <w:rPr>
          <w:b/>
          <w:szCs w:val="24"/>
        </w:rPr>
        <w:t>10/03/2023</w:t>
      </w:r>
    </w:p>
    <w:p w14:paraId="2586CC50" w14:textId="50A99A94" w:rsidR="00912904" w:rsidRPr="00591637" w:rsidRDefault="00912904" w:rsidP="00EA4949">
      <w:pPr>
        <w:tabs>
          <w:tab w:val="left" w:pos="3022"/>
        </w:tabs>
        <w:rPr>
          <w:szCs w:val="24"/>
        </w:rPr>
      </w:pPr>
      <w:r w:rsidRPr="00591637">
        <w:rPr>
          <w:b/>
          <w:szCs w:val="24"/>
        </w:rPr>
        <w:t xml:space="preserve">Statutory Officer:  </w:t>
      </w:r>
      <w:r w:rsidR="00CC45C7" w:rsidRPr="00591637">
        <w:rPr>
          <w:b/>
          <w:szCs w:val="24"/>
        </w:rPr>
        <w:t>Sharon Clarke</w:t>
      </w:r>
    </w:p>
    <w:p w14:paraId="3F58D77A" w14:textId="47CC97C1" w:rsidR="00912904" w:rsidRPr="00591637" w:rsidRDefault="00912904" w:rsidP="00912904">
      <w:pPr>
        <w:rPr>
          <w:szCs w:val="24"/>
        </w:rPr>
      </w:pPr>
      <w:r w:rsidRPr="00591637">
        <w:rPr>
          <w:szCs w:val="24"/>
        </w:rPr>
        <w:t>Signed on behalf of the Monitoring Officer</w:t>
      </w:r>
    </w:p>
    <w:p w14:paraId="61F8C7E6" w14:textId="27A9FA04" w:rsidR="00912904" w:rsidRPr="00591637" w:rsidRDefault="00912904" w:rsidP="00A87BB6">
      <w:pPr>
        <w:tabs>
          <w:tab w:val="left" w:pos="2370"/>
        </w:tabs>
        <w:spacing w:after="480"/>
        <w:rPr>
          <w:szCs w:val="24"/>
        </w:rPr>
      </w:pPr>
      <w:r w:rsidRPr="00591637">
        <w:rPr>
          <w:b/>
          <w:szCs w:val="24"/>
        </w:rPr>
        <w:t xml:space="preserve">Date:  </w:t>
      </w:r>
      <w:r w:rsidR="00CC45C7" w:rsidRPr="00591637">
        <w:rPr>
          <w:b/>
          <w:szCs w:val="24"/>
        </w:rPr>
        <w:t>08/03/2023</w:t>
      </w:r>
    </w:p>
    <w:p w14:paraId="2019A53D" w14:textId="0AF9ED2C" w:rsidR="00912904" w:rsidRPr="00591637" w:rsidRDefault="004A4A1D" w:rsidP="00A87BB6">
      <w:pPr>
        <w:tabs>
          <w:tab w:val="left" w:pos="2370"/>
        </w:tabs>
        <w:rPr>
          <w:b/>
          <w:szCs w:val="24"/>
        </w:rPr>
      </w:pPr>
      <w:r w:rsidRPr="00591637">
        <w:rPr>
          <w:b/>
          <w:szCs w:val="24"/>
        </w:rPr>
        <w:t>Chief</w:t>
      </w:r>
      <w:r w:rsidR="00912904" w:rsidRPr="00591637">
        <w:rPr>
          <w:b/>
          <w:szCs w:val="24"/>
        </w:rPr>
        <w:t xml:space="preserve"> Officer: </w:t>
      </w:r>
      <w:r w:rsidR="00DB1C98" w:rsidRPr="00591637">
        <w:rPr>
          <w:b/>
          <w:szCs w:val="24"/>
        </w:rPr>
        <w:t xml:space="preserve"> </w:t>
      </w:r>
      <w:r w:rsidR="00F206EB" w:rsidRPr="00591637">
        <w:rPr>
          <w:b/>
          <w:szCs w:val="24"/>
        </w:rPr>
        <w:t>Dawn Calvert</w:t>
      </w:r>
    </w:p>
    <w:p w14:paraId="12E4D11B" w14:textId="0406CEB3" w:rsidR="00912904" w:rsidRPr="00591637" w:rsidRDefault="00365D29" w:rsidP="00912904">
      <w:pPr>
        <w:rPr>
          <w:szCs w:val="24"/>
        </w:rPr>
      </w:pPr>
      <w:r w:rsidRPr="00591637">
        <w:rPr>
          <w:szCs w:val="24"/>
        </w:rPr>
        <w:t>Signed</w:t>
      </w:r>
      <w:r w:rsidR="00912904" w:rsidRPr="00591637">
        <w:rPr>
          <w:szCs w:val="24"/>
        </w:rPr>
        <w:t xml:space="preserve"> </w:t>
      </w:r>
      <w:r w:rsidR="00BE0F0E" w:rsidRPr="00591637">
        <w:rPr>
          <w:szCs w:val="24"/>
        </w:rPr>
        <w:t xml:space="preserve">on behalf of </w:t>
      </w:r>
      <w:r w:rsidR="00912904" w:rsidRPr="00591637">
        <w:rPr>
          <w:szCs w:val="24"/>
        </w:rPr>
        <w:t>the C</w:t>
      </w:r>
      <w:r w:rsidR="00A87BB6" w:rsidRPr="00591637">
        <w:rPr>
          <w:szCs w:val="24"/>
        </w:rPr>
        <w:t>hief Executive</w:t>
      </w:r>
    </w:p>
    <w:p w14:paraId="21482980" w14:textId="05595D87" w:rsidR="00912904" w:rsidRPr="00591637" w:rsidRDefault="00912904" w:rsidP="00636345">
      <w:pPr>
        <w:tabs>
          <w:tab w:val="left" w:pos="1370"/>
        </w:tabs>
        <w:spacing w:after="480"/>
        <w:rPr>
          <w:szCs w:val="24"/>
        </w:rPr>
      </w:pPr>
      <w:r w:rsidRPr="00591637">
        <w:rPr>
          <w:b/>
          <w:szCs w:val="24"/>
        </w:rPr>
        <w:t xml:space="preserve">Date:  </w:t>
      </w:r>
      <w:r w:rsidR="00F206EB" w:rsidRPr="00591637">
        <w:rPr>
          <w:b/>
          <w:szCs w:val="24"/>
        </w:rPr>
        <w:t>10/03/2023</w:t>
      </w:r>
    </w:p>
    <w:p w14:paraId="686CE5D8" w14:textId="77777777" w:rsidR="00912904" w:rsidRPr="00435B5D" w:rsidRDefault="00912904" w:rsidP="00912904">
      <w:pPr>
        <w:pStyle w:val="Heading2"/>
        <w:spacing w:after="240"/>
      </w:pPr>
      <w:r>
        <w:t>Mandatory Checks</w:t>
      </w:r>
    </w:p>
    <w:p w14:paraId="71FBC41D" w14:textId="14DE02B4" w:rsidR="00912904" w:rsidRPr="00591637" w:rsidRDefault="00912904" w:rsidP="00180D94">
      <w:pPr>
        <w:pStyle w:val="Heading3"/>
        <w:ind w:left="0" w:firstLine="0"/>
        <w:rPr>
          <w:i/>
          <w:color w:val="FF0000"/>
          <w:szCs w:val="24"/>
        </w:rPr>
      </w:pPr>
      <w:r w:rsidRPr="00591637">
        <w:rPr>
          <w:szCs w:val="24"/>
        </w:rPr>
        <w:t xml:space="preserve">Ward Councillors notified:  </w:t>
      </w:r>
      <w:r w:rsidR="00180D94" w:rsidRPr="00591637">
        <w:rPr>
          <w:szCs w:val="24"/>
        </w:rPr>
        <w:t>Not applicable</w:t>
      </w:r>
      <w:r w:rsidRPr="00591637">
        <w:rPr>
          <w:i/>
          <w:color w:val="FF0000"/>
          <w:szCs w:val="24"/>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5043159A" w14:textId="1C2BD613" w:rsidR="00180D94" w:rsidRPr="00591637" w:rsidRDefault="002A2389" w:rsidP="00180D94">
      <w:pPr>
        <w:pStyle w:val="Infotext"/>
        <w:rPr>
          <w:sz w:val="24"/>
          <w:szCs w:val="24"/>
        </w:rPr>
      </w:pPr>
      <w:r w:rsidRPr="00591637">
        <w:rPr>
          <w:b/>
          <w:sz w:val="24"/>
          <w:szCs w:val="24"/>
        </w:rPr>
        <w:t>Contact:</w:t>
      </w:r>
      <w:r w:rsidRPr="00591637">
        <w:rPr>
          <w:sz w:val="24"/>
          <w:szCs w:val="24"/>
        </w:rPr>
        <w:t xml:space="preserve">  </w:t>
      </w:r>
      <w:r w:rsidR="00180D94" w:rsidRPr="00591637">
        <w:rPr>
          <w:sz w:val="24"/>
          <w:szCs w:val="24"/>
        </w:rPr>
        <w:t>Jeremy Randall – Interim Pensions Manager</w:t>
      </w:r>
    </w:p>
    <w:p w14:paraId="38A0A7A9" w14:textId="77777777" w:rsidR="00180D94" w:rsidRPr="00591637" w:rsidRDefault="00180D94" w:rsidP="00180D94">
      <w:pPr>
        <w:pStyle w:val="Infotext"/>
        <w:rPr>
          <w:rStyle w:val="Hyperlink"/>
          <w:sz w:val="24"/>
          <w:szCs w:val="24"/>
        </w:rPr>
      </w:pPr>
      <w:r w:rsidRPr="00591637">
        <w:rPr>
          <w:sz w:val="24"/>
          <w:szCs w:val="24"/>
        </w:rPr>
        <w:t xml:space="preserve">Email: </w:t>
      </w:r>
      <w:hyperlink r:id="rId11" w:history="1">
        <w:r w:rsidRPr="00591637">
          <w:rPr>
            <w:rStyle w:val="Hyperlink"/>
            <w:sz w:val="24"/>
            <w:szCs w:val="24"/>
          </w:rPr>
          <w:t>Jeremy.randall@harrow.gov.uk</w:t>
        </w:r>
      </w:hyperlink>
    </w:p>
    <w:p w14:paraId="064CDBC2" w14:textId="77777777" w:rsidR="00180D94" w:rsidRPr="00591637" w:rsidRDefault="00180D94" w:rsidP="00180D94">
      <w:pPr>
        <w:pStyle w:val="Infotext"/>
        <w:rPr>
          <w:sz w:val="24"/>
          <w:szCs w:val="24"/>
        </w:rPr>
      </w:pPr>
      <w:r w:rsidRPr="00591637">
        <w:rPr>
          <w:rStyle w:val="Hyperlink"/>
          <w:color w:val="auto"/>
          <w:sz w:val="24"/>
          <w:szCs w:val="24"/>
          <w:u w:val="none"/>
        </w:rPr>
        <w:t>Telephone 020 8736 6552</w:t>
      </w:r>
    </w:p>
    <w:p w14:paraId="695B009D" w14:textId="616FCDEE" w:rsidR="002A2389" w:rsidRDefault="002A2389" w:rsidP="003737C1">
      <w:pPr>
        <w:pStyle w:val="Infotext"/>
        <w:spacing w:before="360"/>
        <w:rPr>
          <w:sz w:val="24"/>
          <w:szCs w:val="24"/>
        </w:rPr>
      </w:pPr>
      <w:r w:rsidRPr="00591637">
        <w:rPr>
          <w:b/>
          <w:sz w:val="24"/>
          <w:szCs w:val="24"/>
        </w:rPr>
        <w:t>Background Papers</w:t>
      </w:r>
      <w:r w:rsidRPr="00591637">
        <w:rPr>
          <w:sz w:val="24"/>
          <w:szCs w:val="24"/>
        </w:rPr>
        <w:t xml:space="preserve">:  </w:t>
      </w:r>
      <w:r w:rsidR="00180D94" w:rsidRPr="00591637">
        <w:rPr>
          <w:sz w:val="24"/>
          <w:szCs w:val="24"/>
        </w:rPr>
        <w:t xml:space="preserve">None </w:t>
      </w:r>
    </w:p>
    <w:p w14:paraId="193C107C" w14:textId="3051238A" w:rsidR="00591637" w:rsidRPr="00591637" w:rsidRDefault="00591637" w:rsidP="00591637"/>
    <w:p w14:paraId="33CD2B57" w14:textId="61048A03" w:rsidR="00591637" w:rsidRPr="00591637" w:rsidRDefault="00591637" w:rsidP="00591637"/>
    <w:p w14:paraId="062F7407" w14:textId="6582E956" w:rsidR="00591637" w:rsidRPr="00591637" w:rsidRDefault="00591637" w:rsidP="00591637"/>
    <w:p w14:paraId="6A3E7C4E" w14:textId="7A33A409" w:rsidR="00591637" w:rsidRDefault="00591637" w:rsidP="00591637">
      <w:pPr>
        <w:rPr>
          <w:szCs w:val="24"/>
        </w:rPr>
      </w:pPr>
    </w:p>
    <w:p w14:paraId="2A28D619" w14:textId="7BAA350D" w:rsidR="00591637" w:rsidRPr="00591637" w:rsidRDefault="00591637" w:rsidP="00591637">
      <w:pPr>
        <w:tabs>
          <w:tab w:val="left" w:pos="6100"/>
        </w:tabs>
      </w:pPr>
      <w:r>
        <w:tab/>
      </w:r>
    </w:p>
    <w:sectPr w:rsidR="00591637" w:rsidRPr="00591637"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779655F"/>
    <w:multiLevelType w:val="hybridMultilevel"/>
    <w:tmpl w:val="66FEB3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137A7"/>
    <w:multiLevelType w:val="hybridMultilevel"/>
    <w:tmpl w:val="7846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3227"/>
    <w:multiLevelType w:val="hybridMultilevel"/>
    <w:tmpl w:val="846A4D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C12476D"/>
    <w:multiLevelType w:val="hybridMultilevel"/>
    <w:tmpl w:val="92AE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C034D"/>
    <w:multiLevelType w:val="hybridMultilevel"/>
    <w:tmpl w:val="AFD6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8742B"/>
    <w:multiLevelType w:val="hybridMultilevel"/>
    <w:tmpl w:val="31EC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704117">
    <w:abstractNumId w:val="25"/>
  </w:num>
  <w:num w:numId="2" w16cid:durableId="761953057">
    <w:abstractNumId w:val="20"/>
  </w:num>
  <w:num w:numId="3" w16cid:durableId="1095710136">
    <w:abstractNumId w:val="24"/>
  </w:num>
  <w:num w:numId="4" w16cid:durableId="1727683961">
    <w:abstractNumId w:val="1"/>
  </w:num>
  <w:num w:numId="5" w16cid:durableId="1237856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437063">
    <w:abstractNumId w:val="13"/>
  </w:num>
  <w:num w:numId="7" w16cid:durableId="1916478063">
    <w:abstractNumId w:val="16"/>
  </w:num>
  <w:num w:numId="8" w16cid:durableId="21562237">
    <w:abstractNumId w:val="8"/>
  </w:num>
  <w:num w:numId="9" w16cid:durableId="1561939179">
    <w:abstractNumId w:val="6"/>
  </w:num>
  <w:num w:numId="10" w16cid:durableId="61224595">
    <w:abstractNumId w:val="23"/>
  </w:num>
  <w:num w:numId="11" w16cid:durableId="678432559">
    <w:abstractNumId w:val="29"/>
  </w:num>
  <w:num w:numId="12" w16cid:durableId="1276206868">
    <w:abstractNumId w:val="21"/>
  </w:num>
  <w:num w:numId="13" w16cid:durableId="550726663">
    <w:abstractNumId w:val="5"/>
  </w:num>
  <w:num w:numId="14" w16cid:durableId="1390957593">
    <w:abstractNumId w:val="9"/>
  </w:num>
  <w:num w:numId="15" w16cid:durableId="1747603586">
    <w:abstractNumId w:val="19"/>
  </w:num>
  <w:num w:numId="16" w16cid:durableId="1958756912">
    <w:abstractNumId w:val="7"/>
  </w:num>
  <w:num w:numId="17" w16cid:durableId="519659022">
    <w:abstractNumId w:val="10"/>
  </w:num>
  <w:num w:numId="18" w16cid:durableId="1799104761">
    <w:abstractNumId w:val="26"/>
  </w:num>
  <w:num w:numId="19" w16cid:durableId="1251086126">
    <w:abstractNumId w:val="0"/>
  </w:num>
  <w:num w:numId="20" w16cid:durableId="690493108">
    <w:abstractNumId w:val="4"/>
  </w:num>
  <w:num w:numId="21" w16cid:durableId="991561266">
    <w:abstractNumId w:val="18"/>
  </w:num>
  <w:num w:numId="22" w16cid:durableId="58750395">
    <w:abstractNumId w:val="12"/>
  </w:num>
  <w:num w:numId="23" w16cid:durableId="1575047680">
    <w:abstractNumId w:val="2"/>
  </w:num>
  <w:num w:numId="24" w16cid:durableId="1274287801">
    <w:abstractNumId w:val="28"/>
  </w:num>
  <w:num w:numId="25" w16cid:durableId="1211461063">
    <w:abstractNumId w:val="22"/>
  </w:num>
  <w:num w:numId="26" w16cid:durableId="2105565177">
    <w:abstractNumId w:val="11"/>
  </w:num>
  <w:num w:numId="27" w16cid:durableId="166407736">
    <w:abstractNumId w:val="14"/>
  </w:num>
  <w:num w:numId="28" w16cid:durableId="38559012">
    <w:abstractNumId w:val="27"/>
  </w:num>
  <w:num w:numId="29" w16cid:durableId="945624474">
    <w:abstractNumId w:val="15"/>
  </w:num>
  <w:num w:numId="30" w16cid:durableId="1624313196">
    <w:abstractNumId w:val="3"/>
  </w:num>
  <w:num w:numId="31" w16cid:durableId="922224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5D8C"/>
    <w:rsid w:val="000967C9"/>
    <w:rsid w:val="000A58A1"/>
    <w:rsid w:val="000A6659"/>
    <w:rsid w:val="000B0E6F"/>
    <w:rsid w:val="000B6DBB"/>
    <w:rsid w:val="000C2383"/>
    <w:rsid w:val="000D2BF2"/>
    <w:rsid w:val="000D300F"/>
    <w:rsid w:val="000D5870"/>
    <w:rsid w:val="000F65C0"/>
    <w:rsid w:val="00134D55"/>
    <w:rsid w:val="00180D94"/>
    <w:rsid w:val="00182626"/>
    <w:rsid w:val="001939BA"/>
    <w:rsid w:val="001A6EB0"/>
    <w:rsid w:val="001B441D"/>
    <w:rsid w:val="001C5225"/>
    <w:rsid w:val="001E0219"/>
    <w:rsid w:val="00213BE7"/>
    <w:rsid w:val="00231A1D"/>
    <w:rsid w:val="00240ADD"/>
    <w:rsid w:val="00244120"/>
    <w:rsid w:val="0026112C"/>
    <w:rsid w:val="00293F9F"/>
    <w:rsid w:val="002973C5"/>
    <w:rsid w:val="002A2389"/>
    <w:rsid w:val="002A68FF"/>
    <w:rsid w:val="002B62F0"/>
    <w:rsid w:val="002C08E2"/>
    <w:rsid w:val="002C1794"/>
    <w:rsid w:val="002D2FC5"/>
    <w:rsid w:val="002E6637"/>
    <w:rsid w:val="002E77E3"/>
    <w:rsid w:val="002F0E81"/>
    <w:rsid w:val="00313DB5"/>
    <w:rsid w:val="00332947"/>
    <w:rsid w:val="00333EB4"/>
    <w:rsid w:val="00345915"/>
    <w:rsid w:val="003473D3"/>
    <w:rsid w:val="00365D29"/>
    <w:rsid w:val="003737C1"/>
    <w:rsid w:val="00374F22"/>
    <w:rsid w:val="00385716"/>
    <w:rsid w:val="003B1940"/>
    <w:rsid w:val="003D2FFE"/>
    <w:rsid w:val="003D5F0A"/>
    <w:rsid w:val="003D73DF"/>
    <w:rsid w:val="00400032"/>
    <w:rsid w:val="0042394B"/>
    <w:rsid w:val="004557B2"/>
    <w:rsid w:val="00455A70"/>
    <w:rsid w:val="00473B08"/>
    <w:rsid w:val="00474B5F"/>
    <w:rsid w:val="004A3CE6"/>
    <w:rsid w:val="004A4A1D"/>
    <w:rsid w:val="004B2C9D"/>
    <w:rsid w:val="004B4A47"/>
    <w:rsid w:val="004E667D"/>
    <w:rsid w:val="004E6AF9"/>
    <w:rsid w:val="005031DF"/>
    <w:rsid w:val="005175C4"/>
    <w:rsid w:val="00534BAA"/>
    <w:rsid w:val="0056613F"/>
    <w:rsid w:val="00591637"/>
    <w:rsid w:val="00595F01"/>
    <w:rsid w:val="00597314"/>
    <w:rsid w:val="005A61AF"/>
    <w:rsid w:val="005C1808"/>
    <w:rsid w:val="005D0886"/>
    <w:rsid w:val="005D0BD6"/>
    <w:rsid w:val="005E384D"/>
    <w:rsid w:val="005F2181"/>
    <w:rsid w:val="005F61BC"/>
    <w:rsid w:val="005F724B"/>
    <w:rsid w:val="00606705"/>
    <w:rsid w:val="00625DFF"/>
    <w:rsid w:val="0063072B"/>
    <w:rsid w:val="00636345"/>
    <w:rsid w:val="006475EA"/>
    <w:rsid w:val="00656644"/>
    <w:rsid w:val="00662891"/>
    <w:rsid w:val="006628B7"/>
    <w:rsid w:val="00675FCB"/>
    <w:rsid w:val="00690BAC"/>
    <w:rsid w:val="006A0B87"/>
    <w:rsid w:val="006B3942"/>
    <w:rsid w:val="006B7849"/>
    <w:rsid w:val="006B7DC6"/>
    <w:rsid w:val="006C3914"/>
    <w:rsid w:val="006C4D4C"/>
    <w:rsid w:val="006D3648"/>
    <w:rsid w:val="006D6B23"/>
    <w:rsid w:val="006D7789"/>
    <w:rsid w:val="006F6D50"/>
    <w:rsid w:val="006F7D4A"/>
    <w:rsid w:val="00717E8A"/>
    <w:rsid w:val="0074184E"/>
    <w:rsid w:val="00743829"/>
    <w:rsid w:val="00755F8D"/>
    <w:rsid w:val="007808A7"/>
    <w:rsid w:val="007855AE"/>
    <w:rsid w:val="00795708"/>
    <w:rsid w:val="00796503"/>
    <w:rsid w:val="007B0CB6"/>
    <w:rsid w:val="007B6FAC"/>
    <w:rsid w:val="007D1EA6"/>
    <w:rsid w:val="007D2BDA"/>
    <w:rsid w:val="007D3A46"/>
    <w:rsid w:val="007D42A4"/>
    <w:rsid w:val="007D56C8"/>
    <w:rsid w:val="007E3934"/>
    <w:rsid w:val="007E7303"/>
    <w:rsid w:val="008212A0"/>
    <w:rsid w:val="00837F53"/>
    <w:rsid w:val="00862DDC"/>
    <w:rsid w:val="00897B4F"/>
    <w:rsid w:val="008A15FC"/>
    <w:rsid w:val="008B17CE"/>
    <w:rsid w:val="008D1750"/>
    <w:rsid w:val="008D7800"/>
    <w:rsid w:val="008E2910"/>
    <w:rsid w:val="008E4913"/>
    <w:rsid w:val="00900464"/>
    <w:rsid w:val="0090100E"/>
    <w:rsid w:val="00912904"/>
    <w:rsid w:val="00922249"/>
    <w:rsid w:val="00936E7E"/>
    <w:rsid w:val="0093767E"/>
    <w:rsid w:val="00940309"/>
    <w:rsid w:val="00970A66"/>
    <w:rsid w:val="00972A02"/>
    <w:rsid w:val="00984FCB"/>
    <w:rsid w:val="0099517C"/>
    <w:rsid w:val="009A0937"/>
    <w:rsid w:val="009B2ECD"/>
    <w:rsid w:val="009B7914"/>
    <w:rsid w:val="009C19ED"/>
    <w:rsid w:val="009F430B"/>
    <w:rsid w:val="00A055F2"/>
    <w:rsid w:val="00A160B2"/>
    <w:rsid w:val="00A16271"/>
    <w:rsid w:val="00A566E7"/>
    <w:rsid w:val="00A630BF"/>
    <w:rsid w:val="00A73B25"/>
    <w:rsid w:val="00A774AE"/>
    <w:rsid w:val="00A87BB6"/>
    <w:rsid w:val="00A940D3"/>
    <w:rsid w:val="00A96FCA"/>
    <w:rsid w:val="00AA4BE8"/>
    <w:rsid w:val="00AB1EE3"/>
    <w:rsid w:val="00AB750A"/>
    <w:rsid w:val="00AC0AAB"/>
    <w:rsid w:val="00AC7BA9"/>
    <w:rsid w:val="00AD71FA"/>
    <w:rsid w:val="00B0425E"/>
    <w:rsid w:val="00B26886"/>
    <w:rsid w:val="00B84A87"/>
    <w:rsid w:val="00B900E2"/>
    <w:rsid w:val="00B9118E"/>
    <w:rsid w:val="00BA36E3"/>
    <w:rsid w:val="00BB0DBA"/>
    <w:rsid w:val="00BD6115"/>
    <w:rsid w:val="00BD684A"/>
    <w:rsid w:val="00BE0F0E"/>
    <w:rsid w:val="00C02F1E"/>
    <w:rsid w:val="00C05E9C"/>
    <w:rsid w:val="00C32DAE"/>
    <w:rsid w:val="00C348C2"/>
    <w:rsid w:val="00C40E24"/>
    <w:rsid w:val="00C57EC0"/>
    <w:rsid w:val="00C61B80"/>
    <w:rsid w:val="00C6722A"/>
    <w:rsid w:val="00C7617B"/>
    <w:rsid w:val="00C92D9A"/>
    <w:rsid w:val="00C96EF5"/>
    <w:rsid w:val="00CC45C7"/>
    <w:rsid w:val="00CC4F7A"/>
    <w:rsid w:val="00D25064"/>
    <w:rsid w:val="00D32B51"/>
    <w:rsid w:val="00D34668"/>
    <w:rsid w:val="00D3740E"/>
    <w:rsid w:val="00D40335"/>
    <w:rsid w:val="00D41A54"/>
    <w:rsid w:val="00D46252"/>
    <w:rsid w:val="00D71A2D"/>
    <w:rsid w:val="00D82F57"/>
    <w:rsid w:val="00D841A5"/>
    <w:rsid w:val="00D914D2"/>
    <w:rsid w:val="00DA25DB"/>
    <w:rsid w:val="00DB0791"/>
    <w:rsid w:val="00DB1C98"/>
    <w:rsid w:val="00DD4251"/>
    <w:rsid w:val="00E02B50"/>
    <w:rsid w:val="00E03F11"/>
    <w:rsid w:val="00E06DC8"/>
    <w:rsid w:val="00E220B5"/>
    <w:rsid w:val="00E2344F"/>
    <w:rsid w:val="00E33278"/>
    <w:rsid w:val="00E33D93"/>
    <w:rsid w:val="00E609EF"/>
    <w:rsid w:val="00E737A1"/>
    <w:rsid w:val="00E8111D"/>
    <w:rsid w:val="00E8515B"/>
    <w:rsid w:val="00E90AFF"/>
    <w:rsid w:val="00EA0AE0"/>
    <w:rsid w:val="00EA4949"/>
    <w:rsid w:val="00EC70CD"/>
    <w:rsid w:val="00EF2F91"/>
    <w:rsid w:val="00F206EB"/>
    <w:rsid w:val="00F22AA0"/>
    <w:rsid w:val="00F33EE3"/>
    <w:rsid w:val="00F367C8"/>
    <w:rsid w:val="00F4213B"/>
    <w:rsid w:val="00F558BE"/>
    <w:rsid w:val="00F70E46"/>
    <w:rsid w:val="00F7452D"/>
    <w:rsid w:val="00F806B8"/>
    <w:rsid w:val="00F849ED"/>
    <w:rsid w:val="00F92398"/>
    <w:rsid w:val="00FA09F1"/>
    <w:rsid w:val="00FD31A0"/>
    <w:rsid w:val="00FE5CB9"/>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1028</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7</cp:revision>
  <cp:lastPrinted>2007-07-12T09:53:00Z</cp:lastPrinted>
  <dcterms:created xsi:type="dcterms:W3CDTF">2023-03-08T12:03:00Z</dcterms:created>
  <dcterms:modified xsi:type="dcterms:W3CDTF">2023-03-21T12:42:00Z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